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70" w:rsidRPr="00852FD4" w:rsidRDefault="008252AF" w:rsidP="00DD1C6D">
      <w:pPr>
        <w:jc w:val="center"/>
        <w:rPr>
          <w:b/>
          <w:sz w:val="32"/>
          <w:szCs w:val="32"/>
        </w:rPr>
      </w:pPr>
      <w:r w:rsidRPr="00852FD4">
        <w:rPr>
          <w:b/>
          <w:sz w:val="32"/>
          <w:szCs w:val="32"/>
        </w:rPr>
        <w:t>О</w:t>
      </w:r>
      <w:r w:rsidR="00630034" w:rsidRPr="00852FD4">
        <w:rPr>
          <w:b/>
          <w:sz w:val="32"/>
          <w:szCs w:val="32"/>
        </w:rPr>
        <w:t>боснование</w:t>
      </w:r>
      <w:r w:rsidRPr="00852FD4">
        <w:rPr>
          <w:b/>
          <w:sz w:val="32"/>
          <w:szCs w:val="32"/>
        </w:rPr>
        <w:t xml:space="preserve"> </w:t>
      </w:r>
      <w:r w:rsidR="003C6EF5" w:rsidRPr="00852FD4">
        <w:rPr>
          <w:b/>
          <w:sz w:val="32"/>
          <w:szCs w:val="32"/>
        </w:rPr>
        <w:t xml:space="preserve">изменения </w:t>
      </w:r>
      <w:r w:rsidRPr="00852FD4">
        <w:rPr>
          <w:b/>
          <w:sz w:val="32"/>
          <w:szCs w:val="32"/>
        </w:rPr>
        <w:t xml:space="preserve">принципа </w:t>
      </w:r>
      <w:r w:rsidR="006B2318" w:rsidRPr="00852FD4">
        <w:rPr>
          <w:b/>
          <w:sz w:val="32"/>
          <w:szCs w:val="32"/>
        </w:rPr>
        <w:t>начисления</w:t>
      </w:r>
      <w:r w:rsidRPr="00852FD4">
        <w:rPr>
          <w:b/>
          <w:sz w:val="32"/>
          <w:szCs w:val="32"/>
        </w:rPr>
        <w:t xml:space="preserve"> членских взносов</w:t>
      </w:r>
      <w:r w:rsidR="003C6EF5" w:rsidRPr="00852FD4">
        <w:rPr>
          <w:b/>
          <w:sz w:val="32"/>
          <w:szCs w:val="32"/>
        </w:rPr>
        <w:t xml:space="preserve"> в СНТ «Парус-1»</w:t>
      </w:r>
    </w:p>
    <w:p w:rsidR="00E63C66" w:rsidRDefault="00E63C66" w:rsidP="00DD1C6D">
      <w:pPr>
        <w:jc w:val="center"/>
        <w:rPr>
          <w:sz w:val="24"/>
          <w:szCs w:val="24"/>
        </w:rPr>
      </w:pPr>
      <w:r w:rsidRPr="00630034">
        <w:rPr>
          <w:sz w:val="24"/>
          <w:szCs w:val="24"/>
        </w:rPr>
        <w:t>(пояснительная записка)</w:t>
      </w:r>
    </w:p>
    <w:p w:rsidR="003E65E4" w:rsidRPr="00852FD4" w:rsidRDefault="003E65E4" w:rsidP="003E65E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>Общие положения</w:t>
      </w:r>
    </w:p>
    <w:p w:rsidR="002D032B" w:rsidRDefault="002D032B" w:rsidP="00DD1C6D">
      <w:pPr>
        <w:ind w:firstLine="708"/>
      </w:pPr>
      <w:r>
        <w:t xml:space="preserve">Вопрос справедливого распределения финансовой нагрузки при </w:t>
      </w:r>
      <w:r w:rsidR="00943E3F">
        <w:t>ведении</w:t>
      </w:r>
      <w:r>
        <w:t xml:space="preserve"> хозяйственной деятельности в любом СНТ </w:t>
      </w:r>
      <w:r w:rsidR="00943E3F">
        <w:t xml:space="preserve">всегда </w:t>
      </w:r>
      <w:r>
        <w:t xml:space="preserve">стоит очень остро. Последствия неправильно выбранной линии при его решении </w:t>
      </w:r>
      <w:r w:rsidR="00943E3F">
        <w:t xml:space="preserve">неизменно, </w:t>
      </w:r>
      <w:r>
        <w:t xml:space="preserve">негативным образом </w:t>
      </w:r>
      <w:r w:rsidR="00943E3F">
        <w:t>сказывается на результатах этой деятельности и психологическом климате в СНТ.</w:t>
      </w:r>
      <w:r>
        <w:t xml:space="preserve"> </w:t>
      </w:r>
    </w:p>
    <w:p w:rsidR="00741718" w:rsidRDefault="0051087C" w:rsidP="00741718">
      <w:pPr>
        <w:ind w:firstLine="708"/>
      </w:pPr>
      <w:r w:rsidRPr="0027706B">
        <w:t>В силу закона, и</w:t>
      </w:r>
      <w:r w:rsidR="00741718" w:rsidRPr="0027706B">
        <w:t>значально</w:t>
      </w:r>
      <w:r w:rsidRPr="0027706B">
        <w:t>,</w:t>
      </w:r>
      <w:r w:rsidR="00741718" w:rsidRPr="0027706B">
        <w:t xml:space="preserve"> у всех собственников земельных участков </w:t>
      </w:r>
      <w:r w:rsidR="0037089F" w:rsidRPr="0027706B">
        <w:t xml:space="preserve">(далее по тексту – участок) </w:t>
      </w:r>
      <w:r w:rsidR="00741718" w:rsidRPr="0027706B">
        <w:t xml:space="preserve">в СНТ </w:t>
      </w:r>
      <w:r w:rsidR="00741718" w:rsidRPr="0027706B">
        <w:rPr>
          <w:b/>
        </w:rPr>
        <w:t xml:space="preserve">равные права и обязанности </w:t>
      </w:r>
      <w:r w:rsidR="00741718" w:rsidRPr="0027706B">
        <w:t>в части пользования объектами инфраструктуры</w:t>
      </w:r>
      <w:r w:rsidRPr="0027706B">
        <w:t>,</w:t>
      </w:r>
      <w:r w:rsidR="00741718" w:rsidRPr="0027706B">
        <w:t xml:space="preserve"> финансирования их </w:t>
      </w:r>
      <w:r w:rsidRPr="0027706B">
        <w:t>эксплуатации</w:t>
      </w:r>
      <w:r w:rsidR="0027706B" w:rsidRPr="0027706B">
        <w:t>,</w:t>
      </w:r>
      <w:r w:rsidRPr="0027706B">
        <w:t xml:space="preserve"> </w:t>
      </w:r>
      <w:r w:rsidR="00741718" w:rsidRPr="0027706B">
        <w:t>строительства</w:t>
      </w:r>
      <w:r w:rsidRPr="0027706B">
        <w:t xml:space="preserve"> новых объектов</w:t>
      </w:r>
      <w:r w:rsidR="00741718" w:rsidRPr="0027706B">
        <w:t>, приобретения</w:t>
      </w:r>
      <w:r w:rsidRPr="0027706B">
        <w:t xml:space="preserve"> необходимого имущества</w:t>
      </w:r>
      <w:r w:rsidR="00741718" w:rsidRPr="0027706B">
        <w:t>.</w:t>
      </w:r>
    </w:p>
    <w:p w:rsidR="00F27C90" w:rsidRDefault="00B40EE6" w:rsidP="00DD1C6D">
      <w:pPr>
        <w:ind w:firstLine="708"/>
      </w:pPr>
      <w:r>
        <w:t xml:space="preserve">Наиболее важным аспектом </w:t>
      </w:r>
      <w:r w:rsidRPr="00B40EE6">
        <w:t>справедливого распределения финансовой нагрузки</w:t>
      </w:r>
      <w:r>
        <w:t xml:space="preserve"> является внутренние правила</w:t>
      </w:r>
      <w:r w:rsidR="00C60ED4">
        <w:t>,</w:t>
      </w:r>
      <w:r w:rsidR="00C60ED4" w:rsidRPr="00C60ED4">
        <w:t xml:space="preserve"> </w:t>
      </w:r>
      <w:r w:rsidR="00C60ED4">
        <w:t>по которым эта нагрузка распределяется между членами СНТ</w:t>
      </w:r>
      <w:r w:rsidR="008E61A9">
        <w:t xml:space="preserve"> и </w:t>
      </w:r>
      <w:r w:rsidR="008E61A9" w:rsidRPr="008E61A9">
        <w:t>собственник</w:t>
      </w:r>
      <w:r w:rsidR="008E61A9">
        <w:t>ами участков</w:t>
      </w:r>
      <w:r w:rsidR="008E61A9" w:rsidRPr="008E61A9">
        <w:t xml:space="preserve">, не являющийся членами СНТ (далее по тексту </w:t>
      </w:r>
      <w:r w:rsidR="008E61A9">
        <w:t xml:space="preserve">общий термин </w:t>
      </w:r>
      <w:r w:rsidR="008E61A9" w:rsidRPr="008E61A9">
        <w:t xml:space="preserve">– </w:t>
      </w:r>
      <w:r w:rsidR="008E61A9" w:rsidRPr="0094419D">
        <w:t>владельцы участков).</w:t>
      </w:r>
      <w:r>
        <w:t xml:space="preserve"> </w:t>
      </w:r>
    </w:p>
    <w:p w:rsidR="00B40EE6" w:rsidRDefault="00F27C90" w:rsidP="0044665A">
      <w:pPr>
        <w:ind w:firstLine="708"/>
      </w:pPr>
      <w:r>
        <w:t>Значительная часть из общего объема, используемых для хозяйственной деятельности, финансовых средств</w:t>
      </w:r>
      <w:r w:rsidR="0044665A">
        <w:t>,</w:t>
      </w:r>
      <w:r>
        <w:t xml:space="preserve"> поступает в виде Членских взносов</w:t>
      </w:r>
      <w:r w:rsidR="00E15CAF">
        <w:t xml:space="preserve"> </w:t>
      </w:r>
      <w:r w:rsidR="00E15CAF" w:rsidRPr="00E15CAF">
        <w:t xml:space="preserve">(далее по тексту </w:t>
      </w:r>
      <w:r w:rsidR="00E15CAF">
        <w:t>–</w:t>
      </w:r>
      <w:r w:rsidR="00E15CAF" w:rsidRPr="00E15CAF">
        <w:t xml:space="preserve"> </w:t>
      </w:r>
      <w:r w:rsidR="00E15CAF">
        <w:t>взносы)</w:t>
      </w:r>
      <w:r>
        <w:t xml:space="preserve">, </w:t>
      </w:r>
      <w:r w:rsidR="00AD6769">
        <w:t xml:space="preserve">в связи с чем очень важно чтобы </w:t>
      </w:r>
      <w:r w:rsidR="0044665A">
        <w:t>правила (далее по тексту - принципы),</w:t>
      </w:r>
      <w:r w:rsidR="0044665A" w:rsidRPr="00C60ED4">
        <w:t xml:space="preserve"> </w:t>
      </w:r>
      <w:r w:rsidR="0044665A">
        <w:t>по</w:t>
      </w:r>
      <w:r w:rsidR="00AD6769">
        <w:t xml:space="preserve"> которым производится их расчет </w:t>
      </w:r>
      <w:r w:rsidR="00AD6769" w:rsidRPr="0002001F">
        <w:t xml:space="preserve">были понятны и приемлемы для всех </w:t>
      </w:r>
      <w:r w:rsidR="008E61A9" w:rsidRPr="008E61A9">
        <w:t>владельц</w:t>
      </w:r>
      <w:r w:rsidR="008E61A9">
        <w:t>ев</w:t>
      </w:r>
      <w:r w:rsidR="008E61A9" w:rsidRPr="008E61A9">
        <w:t xml:space="preserve"> участков</w:t>
      </w:r>
      <w:r w:rsidR="00AD6769" w:rsidRPr="0002001F">
        <w:t xml:space="preserve"> и адекватны существующим в СНТ условиям.</w:t>
      </w:r>
      <w:r w:rsidR="00AD6769">
        <w:t xml:space="preserve">  </w:t>
      </w:r>
      <w:r>
        <w:t xml:space="preserve">  </w:t>
      </w:r>
      <w:r w:rsidR="00B40EE6">
        <w:t xml:space="preserve"> </w:t>
      </w:r>
    </w:p>
    <w:p w:rsidR="008252AF" w:rsidRDefault="0045257F" w:rsidP="00DD1C6D">
      <w:pPr>
        <w:ind w:firstLine="708"/>
      </w:pPr>
      <w:r w:rsidRPr="0045257F">
        <w:t>Закон о садоводстве –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t xml:space="preserve"> </w:t>
      </w:r>
      <w:r w:rsidR="003636FD" w:rsidRPr="003636FD">
        <w:t xml:space="preserve">(далее по тексту – № 217-ФЗ) </w:t>
      </w:r>
      <w:r w:rsidR="00BD1B30">
        <w:t xml:space="preserve">предоставляет право выбора </w:t>
      </w:r>
      <w:r w:rsidR="00F27C90">
        <w:t xml:space="preserve">самим </w:t>
      </w:r>
      <w:r w:rsidR="008E61A9" w:rsidRPr="008E61A9">
        <w:t>владельц</w:t>
      </w:r>
      <w:r w:rsidR="008E61A9">
        <w:t>ам</w:t>
      </w:r>
      <w:r w:rsidR="008E61A9" w:rsidRPr="008E61A9">
        <w:t xml:space="preserve"> участков </w:t>
      </w:r>
      <w:r w:rsidR="00BD1B30">
        <w:t>определ</w:t>
      </w:r>
      <w:r w:rsidR="008E61A9">
        <w:t>ять</w:t>
      </w:r>
      <w:r w:rsidR="008252AF">
        <w:t xml:space="preserve"> </w:t>
      </w:r>
      <w:r w:rsidR="00BD1B30" w:rsidRPr="00F104BE">
        <w:rPr>
          <w:b/>
        </w:rPr>
        <w:t>принцип</w:t>
      </w:r>
      <w:r w:rsidR="008E61A9">
        <w:rPr>
          <w:b/>
        </w:rPr>
        <w:t>ы</w:t>
      </w:r>
      <w:r w:rsidR="00BD1B30" w:rsidRPr="00F104BE">
        <w:rPr>
          <w:b/>
        </w:rPr>
        <w:t xml:space="preserve"> расчета</w:t>
      </w:r>
      <w:r w:rsidR="00BD1B30">
        <w:t xml:space="preserve"> </w:t>
      </w:r>
      <w:r w:rsidR="00F104BE">
        <w:t>Ч</w:t>
      </w:r>
      <w:r w:rsidR="00BD1B30">
        <w:t xml:space="preserve">ленских взносов </w:t>
      </w:r>
      <w:r w:rsidR="008E61A9">
        <w:t>в своем СНТ</w:t>
      </w:r>
      <w:r w:rsidR="00792588">
        <w:t>,</w:t>
      </w:r>
      <w:r w:rsidR="008E61A9">
        <w:t xml:space="preserve"> исходя </w:t>
      </w:r>
      <w:r w:rsidR="00BD1B30">
        <w:t xml:space="preserve">из </w:t>
      </w:r>
      <w:r w:rsidR="008252AF">
        <w:t>следующи</w:t>
      </w:r>
      <w:r w:rsidR="00BD1B30">
        <w:t>х</w:t>
      </w:r>
      <w:r w:rsidR="008252AF">
        <w:t xml:space="preserve"> </w:t>
      </w:r>
      <w:r w:rsidR="00BD1B30">
        <w:t>вариантов</w:t>
      </w:r>
      <w:r w:rsidR="008252AF">
        <w:t>:</w:t>
      </w:r>
      <w:r w:rsidR="00943E3F">
        <w:t xml:space="preserve"> </w:t>
      </w:r>
    </w:p>
    <w:p w:rsidR="008252AF" w:rsidRDefault="008252AF" w:rsidP="008252AF">
      <w:r>
        <w:t xml:space="preserve">- по </w:t>
      </w:r>
      <w:r w:rsidR="00561499" w:rsidRPr="00561499">
        <w:t>количеству владельцев участков</w:t>
      </w:r>
      <w:r>
        <w:t>;</w:t>
      </w:r>
    </w:p>
    <w:p w:rsidR="008252AF" w:rsidRDefault="008252AF" w:rsidP="008252AF">
      <w:r>
        <w:t xml:space="preserve">- по </w:t>
      </w:r>
      <w:r w:rsidR="00AA3D5D">
        <w:t>п</w:t>
      </w:r>
      <w:r w:rsidR="00AA3D5D" w:rsidRPr="00AA3D5D">
        <w:t>лощади участка</w:t>
      </w:r>
      <w:r w:rsidR="0037089F">
        <w:t>, принадлежащего владельцу</w:t>
      </w:r>
      <w:r>
        <w:t>;</w:t>
      </w:r>
    </w:p>
    <w:p w:rsidR="00AA3D5D" w:rsidRPr="0045257F" w:rsidRDefault="008252AF" w:rsidP="008252AF">
      <w:r w:rsidRPr="0045257F">
        <w:t>- по количеству строений на участке</w:t>
      </w:r>
      <w:r w:rsidR="00AA3D5D" w:rsidRPr="0045257F">
        <w:t>;</w:t>
      </w:r>
    </w:p>
    <w:p w:rsidR="008252AF" w:rsidRDefault="00AA3D5D" w:rsidP="008252AF">
      <w:r w:rsidRPr="0045257F">
        <w:t xml:space="preserve">- </w:t>
      </w:r>
      <w:r w:rsidR="00500E68">
        <w:t xml:space="preserve">по </w:t>
      </w:r>
      <w:r w:rsidR="008252AF" w:rsidRPr="0045257F">
        <w:t xml:space="preserve">объему </w:t>
      </w:r>
      <w:r w:rsidRPr="0045257F">
        <w:t xml:space="preserve">собственности </w:t>
      </w:r>
      <w:r w:rsidR="00500E68">
        <w:t xml:space="preserve">владельца </w:t>
      </w:r>
      <w:r w:rsidR="008252AF" w:rsidRPr="0045257F">
        <w:t xml:space="preserve">в </w:t>
      </w:r>
      <w:r w:rsidR="00500E68">
        <w:t xml:space="preserve">объеме </w:t>
      </w:r>
      <w:r w:rsidR="008252AF" w:rsidRPr="0045257F">
        <w:t>общей долевой собственности</w:t>
      </w:r>
      <w:r w:rsidR="0037089F">
        <w:t>;</w:t>
      </w:r>
    </w:p>
    <w:p w:rsidR="0037089F" w:rsidRDefault="0037089F" w:rsidP="008252AF">
      <w:r w:rsidRPr="00801502">
        <w:t xml:space="preserve">- </w:t>
      </w:r>
      <w:r w:rsidR="00CB0529" w:rsidRPr="00CB0529">
        <w:t>смешанн</w:t>
      </w:r>
      <w:r w:rsidR="00CB0529">
        <w:t>ый</w:t>
      </w:r>
      <w:r w:rsidR="00CB0529" w:rsidRPr="00CB0529">
        <w:t xml:space="preserve"> </w:t>
      </w:r>
      <w:r w:rsidR="00CB0529">
        <w:t>учет</w:t>
      </w:r>
      <w:r w:rsidR="00CB0529" w:rsidRPr="00CB0529">
        <w:t xml:space="preserve"> (</w:t>
      </w:r>
      <w:r w:rsidR="00CB0529">
        <w:t xml:space="preserve">например, </w:t>
      </w:r>
      <w:r w:rsidR="00CB0529" w:rsidRPr="00CB0529">
        <w:t>часть затрат по площади участков, часть по количеству</w:t>
      </w:r>
      <w:r w:rsidR="00500E68">
        <w:t xml:space="preserve"> владельцев</w:t>
      </w:r>
      <w:r w:rsidR="00CB0529" w:rsidRPr="00CB0529">
        <w:t>).</w:t>
      </w:r>
      <w:r>
        <w:t xml:space="preserve">  </w:t>
      </w:r>
    </w:p>
    <w:p w:rsidR="002F7D0A" w:rsidRDefault="00175EE7" w:rsidP="00DD1C6D">
      <w:pPr>
        <w:ind w:firstLine="708"/>
      </w:pPr>
      <w:r>
        <w:t>Принятие р</w:t>
      </w:r>
      <w:r w:rsidR="002F7D0A">
        <w:t xml:space="preserve">ешение о выборе принципа учета </w:t>
      </w:r>
      <w:r w:rsidR="00BD1B30">
        <w:t xml:space="preserve">является прерогативой </w:t>
      </w:r>
      <w:r w:rsidR="002F7D0A">
        <w:t>Общ</w:t>
      </w:r>
      <w:r w:rsidR="00BD1B30">
        <w:t>его</w:t>
      </w:r>
      <w:r w:rsidR="002F7D0A">
        <w:t xml:space="preserve"> собрани</w:t>
      </w:r>
      <w:r w:rsidR="00BD1B30">
        <w:t>я членов</w:t>
      </w:r>
      <w:r w:rsidR="002F7D0A">
        <w:t xml:space="preserve"> СНТ</w:t>
      </w:r>
      <w:r w:rsidR="00F71FAA">
        <w:t xml:space="preserve"> и </w:t>
      </w:r>
      <w:r w:rsidR="00F71FAA" w:rsidRPr="00F71FAA">
        <w:t>собственник</w:t>
      </w:r>
      <w:r w:rsidR="00F71FAA">
        <w:t>ов</w:t>
      </w:r>
      <w:r w:rsidR="00F71FAA" w:rsidRPr="00F71FAA">
        <w:t xml:space="preserve"> участков, не являющийся членами СНТ</w:t>
      </w:r>
      <w:r w:rsidR="00F71FAA">
        <w:t xml:space="preserve">. </w:t>
      </w:r>
    </w:p>
    <w:p w:rsidR="008969FB" w:rsidRDefault="00FA593B" w:rsidP="00DD1C6D">
      <w:pPr>
        <w:ind w:firstLine="708"/>
      </w:pPr>
      <w:r>
        <w:t>В к</w:t>
      </w:r>
      <w:r w:rsidR="008F3B97">
        <w:t>ажд</w:t>
      </w:r>
      <w:r>
        <w:t>ом</w:t>
      </w:r>
      <w:r w:rsidR="008F3B97">
        <w:t xml:space="preserve"> СНТ данный вопрос решает по</w:t>
      </w:r>
      <w:r w:rsidR="00175EE7">
        <w:t>-</w:t>
      </w:r>
      <w:r w:rsidR="008F3B97">
        <w:t>разному, в зависимости от многих причин</w:t>
      </w:r>
      <w:r>
        <w:t>:</w:t>
      </w:r>
      <w:r w:rsidR="008F3B97">
        <w:t xml:space="preserve"> количеств</w:t>
      </w:r>
      <w:r>
        <w:t>а</w:t>
      </w:r>
      <w:r w:rsidR="008F3B97">
        <w:t xml:space="preserve"> членов, финансовы</w:t>
      </w:r>
      <w:r>
        <w:t>х</w:t>
      </w:r>
      <w:r w:rsidR="008F3B97">
        <w:t xml:space="preserve"> возможност</w:t>
      </w:r>
      <w:r>
        <w:t>ей</w:t>
      </w:r>
      <w:r w:rsidR="008F3B97">
        <w:t xml:space="preserve">, </w:t>
      </w:r>
      <w:r w:rsidRPr="00FA593B">
        <w:t>психологическ</w:t>
      </w:r>
      <w:r>
        <w:t>ого</w:t>
      </w:r>
      <w:r w:rsidRPr="00FA593B">
        <w:t xml:space="preserve"> климат внутри</w:t>
      </w:r>
      <w:r>
        <w:t xml:space="preserve"> СНТ, </w:t>
      </w:r>
      <w:r w:rsidR="008F3B97">
        <w:t>позиции Правления и Председателя и много</w:t>
      </w:r>
      <w:r>
        <w:t>го</w:t>
      </w:r>
      <w:r w:rsidR="008F3B97">
        <w:t xml:space="preserve"> друго</w:t>
      </w:r>
      <w:r>
        <w:t>го</w:t>
      </w:r>
      <w:r w:rsidR="008F3B97">
        <w:t>.</w:t>
      </w:r>
    </w:p>
    <w:p w:rsidR="008252AF" w:rsidRDefault="006B2392" w:rsidP="00DD1C6D">
      <w:pPr>
        <w:ind w:firstLine="708"/>
      </w:pPr>
      <w:r>
        <w:t xml:space="preserve">Во многих СНТ для </w:t>
      </w:r>
      <w:r w:rsidR="000A16E3">
        <w:t xml:space="preserve">справедливого распределения финансовой нагрузки между </w:t>
      </w:r>
      <w:r w:rsidRPr="006B2392">
        <w:t>владельц</w:t>
      </w:r>
      <w:r>
        <w:t>ами</w:t>
      </w:r>
      <w:r w:rsidRPr="006B2392">
        <w:t xml:space="preserve"> участков</w:t>
      </w:r>
      <w:r w:rsidR="008F3B97">
        <w:t xml:space="preserve"> используют два первых пункта</w:t>
      </w:r>
      <w:r w:rsidR="000A16E3">
        <w:t>:</w:t>
      </w:r>
      <w:r w:rsidR="008F3B97">
        <w:t xml:space="preserve"> </w:t>
      </w:r>
      <w:r w:rsidR="00C42DAE" w:rsidRPr="002817C6">
        <w:t>«</w:t>
      </w:r>
      <w:r w:rsidR="002817C6" w:rsidRPr="002817C6">
        <w:t>по</w:t>
      </w:r>
      <w:r w:rsidR="002817C6">
        <w:t xml:space="preserve"> </w:t>
      </w:r>
      <w:r w:rsidR="002817C6" w:rsidRPr="00561499">
        <w:t>количеству владельцев участков</w:t>
      </w:r>
      <w:r w:rsidR="00C42DAE" w:rsidRPr="002817C6">
        <w:t>»</w:t>
      </w:r>
      <w:r w:rsidR="002817C6">
        <w:t>,</w:t>
      </w:r>
      <w:r w:rsidR="008F3B97" w:rsidRPr="002817C6">
        <w:t xml:space="preserve"> </w:t>
      </w:r>
      <w:r w:rsidR="00C42DAE" w:rsidRPr="002817C6">
        <w:t>«</w:t>
      </w:r>
      <w:r w:rsidR="002817C6" w:rsidRPr="002817C6">
        <w:t>по</w:t>
      </w:r>
      <w:r w:rsidR="002817C6">
        <w:t xml:space="preserve"> п</w:t>
      </w:r>
      <w:r w:rsidR="002817C6" w:rsidRPr="00AA3D5D">
        <w:t xml:space="preserve">лощади </w:t>
      </w:r>
      <w:r w:rsidR="002817C6">
        <w:t xml:space="preserve">садового </w:t>
      </w:r>
      <w:r w:rsidR="002817C6" w:rsidRPr="00AA3D5D">
        <w:t>участка</w:t>
      </w:r>
      <w:r w:rsidR="002817C6">
        <w:t>»</w:t>
      </w:r>
      <w:r w:rsidR="008F3B97">
        <w:t xml:space="preserve"> и их комбинаци</w:t>
      </w:r>
      <w:r w:rsidR="0001714D">
        <w:t>ю</w:t>
      </w:r>
      <w:r w:rsidR="008F3B97">
        <w:t xml:space="preserve"> с применением пони</w:t>
      </w:r>
      <w:r w:rsidR="008969FB">
        <w:t>жающих</w:t>
      </w:r>
      <w:r w:rsidR="000A16E3">
        <w:t xml:space="preserve"> </w:t>
      </w:r>
      <w:r w:rsidR="008969FB">
        <w:t>/</w:t>
      </w:r>
      <w:r w:rsidR="000A16E3">
        <w:t xml:space="preserve"> </w:t>
      </w:r>
      <w:r w:rsidR="008969FB">
        <w:t>повышающих коэффициентов</w:t>
      </w:r>
      <w:r w:rsidR="000A16E3" w:rsidRPr="000A16E3">
        <w:t xml:space="preserve"> </w:t>
      </w:r>
      <w:r w:rsidR="000A16E3">
        <w:t xml:space="preserve">и создания системы </w:t>
      </w:r>
      <w:r w:rsidR="002B77F0">
        <w:t xml:space="preserve">всевозможных </w:t>
      </w:r>
      <w:r w:rsidR="000A16E3" w:rsidRPr="000A16E3">
        <w:t>льгот</w:t>
      </w:r>
      <w:r w:rsidR="008969FB">
        <w:t>.</w:t>
      </w:r>
    </w:p>
    <w:p w:rsidR="003E65E4" w:rsidRDefault="008D025D" w:rsidP="008252AF">
      <w:r w:rsidRPr="002C18AE">
        <w:rPr>
          <w:b/>
        </w:rPr>
        <w:lastRenderedPageBreak/>
        <w:t>Существующий</w:t>
      </w:r>
      <w:r w:rsidR="00702E3D" w:rsidRPr="002C18AE">
        <w:rPr>
          <w:b/>
        </w:rPr>
        <w:t>,</w:t>
      </w:r>
      <w:r>
        <w:t xml:space="preserve"> в </w:t>
      </w:r>
      <w:r w:rsidR="00702E3D">
        <w:t xml:space="preserve">настоящий момент времени, в </w:t>
      </w:r>
      <w:r>
        <w:t>СНТ «Парус-1»</w:t>
      </w:r>
      <w:r w:rsidR="00702E3D">
        <w:t>,</w:t>
      </w:r>
      <w:r>
        <w:t xml:space="preserve"> </w:t>
      </w:r>
      <w:r w:rsidR="0044665A" w:rsidRPr="002C18AE">
        <w:rPr>
          <w:b/>
        </w:rPr>
        <w:t>принцип</w:t>
      </w:r>
      <w:r w:rsidRPr="002C18AE">
        <w:rPr>
          <w:b/>
        </w:rPr>
        <w:t xml:space="preserve"> расчета</w:t>
      </w:r>
      <w:r w:rsidR="0044665A">
        <w:t xml:space="preserve"> </w:t>
      </w:r>
      <w:r w:rsidR="007D6CC3">
        <w:t>сумм</w:t>
      </w:r>
      <w:r w:rsidR="0044665A">
        <w:t xml:space="preserve"> взносов</w:t>
      </w:r>
      <w:r w:rsidR="005878D9">
        <w:t>, учитывающи</w:t>
      </w:r>
      <w:r w:rsidR="00BB2CA6">
        <w:t>й</w:t>
      </w:r>
      <w:r w:rsidR="005878D9">
        <w:t xml:space="preserve"> исключительно площадь садового участка, </w:t>
      </w:r>
      <w:r w:rsidR="007D6CC3" w:rsidRPr="002C18AE">
        <w:rPr>
          <w:b/>
        </w:rPr>
        <w:t>ущемляет интересы</w:t>
      </w:r>
      <w:r w:rsidR="007D6CC3">
        <w:t xml:space="preserve"> значительной части </w:t>
      </w:r>
      <w:r w:rsidR="002C18AE" w:rsidRPr="002C18AE">
        <w:rPr>
          <w:b/>
        </w:rPr>
        <w:t>владельцев участков</w:t>
      </w:r>
      <w:r w:rsidR="003636FD">
        <w:t>,</w:t>
      </w:r>
      <w:r w:rsidR="0044665A">
        <w:t xml:space="preserve"> </w:t>
      </w:r>
      <w:r w:rsidR="005878D9">
        <w:t>которые считают его несправедливым и требующим корректировки.</w:t>
      </w:r>
    </w:p>
    <w:p w:rsidR="00B57C56" w:rsidRPr="00852FD4" w:rsidRDefault="00B57C56" w:rsidP="00B57C5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 xml:space="preserve">Принципы расчета сумм </w:t>
      </w:r>
      <w:r w:rsidR="00CE0541" w:rsidRPr="00852FD4">
        <w:rPr>
          <w:b/>
          <w:sz w:val="28"/>
          <w:szCs w:val="28"/>
        </w:rPr>
        <w:t>взносов</w:t>
      </w:r>
      <w:r w:rsidR="0010341A" w:rsidRPr="00852FD4">
        <w:rPr>
          <w:b/>
          <w:sz w:val="28"/>
          <w:szCs w:val="28"/>
        </w:rPr>
        <w:t xml:space="preserve"> </w:t>
      </w:r>
      <w:r w:rsidR="0010341A" w:rsidRPr="00852FD4">
        <w:rPr>
          <w:sz w:val="24"/>
          <w:szCs w:val="24"/>
        </w:rPr>
        <w:t>(предложение)</w:t>
      </w:r>
    </w:p>
    <w:p w:rsidR="00CE0541" w:rsidRPr="00CA5967" w:rsidRDefault="003E65E4" w:rsidP="008252AF">
      <w:pPr>
        <w:rPr>
          <w:b/>
        </w:rPr>
      </w:pPr>
      <w:r>
        <w:t xml:space="preserve"> </w:t>
      </w:r>
      <w:r w:rsidR="0044665A">
        <w:t xml:space="preserve">  </w:t>
      </w:r>
      <w:r w:rsidR="00702E3D">
        <w:t xml:space="preserve">  </w:t>
      </w:r>
      <w:r w:rsidR="00CA5967">
        <w:t xml:space="preserve">Закон </w:t>
      </w:r>
      <w:r w:rsidR="00CA5967" w:rsidRPr="003636FD">
        <w:t>№ 217-</w:t>
      </w:r>
      <w:r w:rsidR="00CA5967" w:rsidRPr="00340962">
        <w:t>ФЗ</w:t>
      </w:r>
      <w:r w:rsidR="00E15CAF" w:rsidRPr="00340962">
        <w:t xml:space="preserve"> определяет, что</w:t>
      </w:r>
      <w:r w:rsidR="00E15CAF" w:rsidRPr="00CA5967">
        <w:t xml:space="preserve"> </w:t>
      </w:r>
      <w:r w:rsidR="00E15CAF" w:rsidRPr="00CA5967">
        <w:rPr>
          <w:b/>
        </w:rPr>
        <w:t xml:space="preserve">принцип расчета </w:t>
      </w:r>
      <w:r w:rsidR="00CE0541" w:rsidRPr="00CA5967">
        <w:rPr>
          <w:b/>
        </w:rPr>
        <w:t>может быть выражен в виде формулы, либо понятного описания.</w:t>
      </w:r>
    </w:p>
    <w:p w:rsidR="00886879" w:rsidRDefault="00886879" w:rsidP="002379FB">
      <w:pPr>
        <w:ind w:firstLine="708"/>
      </w:pPr>
      <w:r>
        <w:t>В основу предлагаемого принципа расчета сумм взносов положен дифференцированный учет расходов.</w:t>
      </w:r>
      <w:r w:rsidR="00C61E46">
        <w:t xml:space="preserve"> Расходная часть </w:t>
      </w:r>
      <w:r w:rsidR="0098026D">
        <w:t>Приходно-расходной сметы</w:t>
      </w:r>
      <w:r w:rsidR="00C61E46">
        <w:t xml:space="preserve"> </w:t>
      </w:r>
      <w:r w:rsidR="00D20856">
        <w:t>(далее по тексту - Смета),</w:t>
      </w:r>
      <w:r w:rsidR="00D20856" w:rsidRPr="00C60ED4">
        <w:t xml:space="preserve"> </w:t>
      </w:r>
      <w:r w:rsidR="00C61E46">
        <w:t xml:space="preserve">делится на </w:t>
      </w:r>
      <w:r w:rsidR="00970A9A">
        <w:t>категории</w:t>
      </w:r>
      <w:r>
        <w:t>, учитывающие характер данных расходов</w:t>
      </w:r>
      <w:r w:rsidR="00C61E46">
        <w:t xml:space="preserve"> (характер деятельности) и их связь с </w:t>
      </w:r>
      <w:r>
        <w:t>площадь</w:t>
      </w:r>
      <w:r w:rsidR="00C61E46">
        <w:t>ю</w:t>
      </w:r>
      <w:r w:rsidR="0098026D">
        <w:t xml:space="preserve">, занимаемого владельцем </w:t>
      </w:r>
      <w:r>
        <w:t>участка</w:t>
      </w:r>
      <w:r w:rsidR="0098026D">
        <w:t xml:space="preserve">. </w:t>
      </w:r>
    </w:p>
    <w:p w:rsidR="008217BD" w:rsidRPr="00955F4D" w:rsidRDefault="00C723FC" w:rsidP="00E77434">
      <w:pPr>
        <w:ind w:firstLine="708"/>
        <w:rPr>
          <w:b/>
        </w:rPr>
      </w:pPr>
      <w:r w:rsidRPr="00BA4F48">
        <w:t>Для определения</w:t>
      </w:r>
      <w:r>
        <w:t xml:space="preserve"> категорий расходов и </w:t>
      </w:r>
      <w:r w:rsidR="00BA4F48">
        <w:t>оценки</w:t>
      </w:r>
      <w:r>
        <w:t xml:space="preserve"> соотношений между ними в </w:t>
      </w:r>
      <w:r w:rsidRPr="00C723FC">
        <w:t>СНТ «Парус-1»</w:t>
      </w:r>
      <w:r>
        <w:t xml:space="preserve">, был </w:t>
      </w:r>
      <w:r w:rsidR="00D20856">
        <w:t xml:space="preserve">проведен </w:t>
      </w:r>
      <w:r w:rsidR="00D20856" w:rsidRPr="0013285C">
        <w:rPr>
          <w:b/>
        </w:rPr>
        <w:t>а</w:t>
      </w:r>
      <w:r w:rsidR="0098026D" w:rsidRPr="0013285C">
        <w:rPr>
          <w:b/>
        </w:rPr>
        <w:t>нализ</w:t>
      </w:r>
      <w:r w:rsidR="0098026D">
        <w:t xml:space="preserve"> </w:t>
      </w:r>
      <w:r w:rsidR="00DD1589">
        <w:rPr>
          <w:b/>
        </w:rPr>
        <w:t>четырех</w:t>
      </w:r>
      <w:r w:rsidR="00D20856" w:rsidRPr="00D146AA">
        <w:rPr>
          <w:b/>
        </w:rPr>
        <w:t xml:space="preserve"> </w:t>
      </w:r>
      <w:r w:rsidR="00D20856" w:rsidRPr="0013285C">
        <w:rPr>
          <w:b/>
        </w:rPr>
        <w:t>Смет</w:t>
      </w:r>
      <w:r w:rsidR="00D146AA">
        <w:t xml:space="preserve"> прошлых периодов</w:t>
      </w:r>
      <w:r w:rsidR="00D4546F">
        <w:t xml:space="preserve">: </w:t>
      </w:r>
      <w:r w:rsidR="00D146AA">
        <w:t xml:space="preserve">за </w:t>
      </w:r>
      <w:r w:rsidR="00D146AA" w:rsidRPr="005A7BD1">
        <w:t xml:space="preserve">2019, </w:t>
      </w:r>
      <w:r w:rsidR="00D4546F" w:rsidRPr="005A7BD1">
        <w:t xml:space="preserve">за </w:t>
      </w:r>
      <w:r w:rsidR="00D146AA" w:rsidRPr="005A7BD1">
        <w:t xml:space="preserve">2020, </w:t>
      </w:r>
      <w:r w:rsidR="00D4546F" w:rsidRPr="005A7BD1">
        <w:t xml:space="preserve">за </w:t>
      </w:r>
      <w:r w:rsidR="00D146AA" w:rsidRPr="005A7BD1">
        <w:t>2021</w:t>
      </w:r>
      <w:r w:rsidR="00DD1589" w:rsidRPr="005A7BD1">
        <w:t>, за 2023</w:t>
      </w:r>
      <w:r w:rsidR="00D146AA" w:rsidRPr="005A7BD1">
        <w:t>г.г</w:t>
      </w:r>
      <w:r w:rsidR="00C42012" w:rsidRPr="005A7BD1">
        <w:t xml:space="preserve"> </w:t>
      </w:r>
      <w:r w:rsidR="00642215" w:rsidRPr="005A7BD1">
        <w:t>(далее по тексту – анализ)</w:t>
      </w:r>
      <w:r w:rsidR="00D4546F" w:rsidRPr="005A7BD1">
        <w:t>, который показал, что статьи расходов</w:t>
      </w:r>
      <w:r w:rsidR="00D4546F">
        <w:t xml:space="preserve"> </w:t>
      </w:r>
      <w:r w:rsidR="00AC1EAF">
        <w:t xml:space="preserve">(характер работ) </w:t>
      </w:r>
      <w:r w:rsidR="00D4546F">
        <w:t xml:space="preserve">в нашем СНТ, из года в год, меняются не значительно, что дает возможность </w:t>
      </w:r>
      <w:r w:rsidR="00106265" w:rsidRPr="00A152F0">
        <w:t>создать</w:t>
      </w:r>
      <w:r w:rsidR="00D4546F" w:rsidRPr="00A152F0">
        <w:t xml:space="preserve"> </w:t>
      </w:r>
      <w:r w:rsidR="008217BD" w:rsidRPr="00A152F0">
        <w:rPr>
          <w:b/>
        </w:rPr>
        <w:t xml:space="preserve">понятный, </w:t>
      </w:r>
      <w:r w:rsidR="00D4546F" w:rsidRPr="00A152F0">
        <w:rPr>
          <w:b/>
        </w:rPr>
        <w:t xml:space="preserve">не сложный </w:t>
      </w:r>
      <w:r w:rsidR="000B50CA" w:rsidRPr="00A152F0">
        <w:rPr>
          <w:b/>
        </w:rPr>
        <w:t>для использования</w:t>
      </w:r>
      <w:r w:rsidR="008217BD" w:rsidRPr="00A152F0">
        <w:rPr>
          <w:b/>
        </w:rPr>
        <w:t xml:space="preserve"> и справедливый</w:t>
      </w:r>
      <w:r w:rsidR="000B50CA" w:rsidRPr="00A152F0">
        <w:rPr>
          <w:b/>
        </w:rPr>
        <w:t xml:space="preserve"> </w:t>
      </w:r>
      <w:r w:rsidR="00D4546F" w:rsidRPr="00A152F0">
        <w:rPr>
          <w:b/>
        </w:rPr>
        <w:t xml:space="preserve">принцип расчета </w:t>
      </w:r>
      <w:r w:rsidR="000B50CA" w:rsidRPr="00A152F0">
        <w:rPr>
          <w:b/>
        </w:rPr>
        <w:t>взносов</w:t>
      </w:r>
      <w:r w:rsidR="008217BD" w:rsidRPr="00955F4D">
        <w:rPr>
          <w:b/>
        </w:rPr>
        <w:t>.</w:t>
      </w:r>
      <w:r w:rsidR="00642215" w:rsidRPr="00955F4D">
        <w:rPr>
          <w:b/>
        </w:rPr>
        <w:t xml:space="preserve"> </w:t>
      </w:r>
      <w:r w:rsidR="00184F0A" w:rsidRPr="00955F4D">
        <w:rPr>
          <w:b/>
        </w:rPr>
        <w:t>Результаты</w:t>
      </w:r>
      <w:r w:rsidR="00184F0A" w:rsidRPr="005A7BD1">
        <w:t xml:space="preserve"> анализа представлены </w:t>
      </w:r>
      <w:r w:rsidR="00184F0A" w:rsidRPr="00955F4D">
        <w:rPr>
          <w:b/>
        </w:rPr>
        <w:t xml:space="preserve">в </w:t>
      </w:r>
      <w:r w:rsidR="00642215" w:rsidRPr="00955F4D">
        <w:rPr>
          <w:b/>
        </w:rPr>
        <w:t>Приложени</w:t>
      </w:r>
      <w:r w:rsidR="00184F0A" w:rsidRPr="00955F4D">
        <w:rPr>
          <w:b/>
        </w:rPr>
        <w:t>и</w:t>
      </w:r>
      <w:r w:rsidR="00642215" w:rsidRPr="00955F4D">
        <w:rPr>
          <w:b/>
        </w:rPr>
        <w:t xml:space="preserve"> №1.</w:t>
      </w:r>
    </w:p>
    <w:p w:rsidR="00BA04F4" w:rsidRDefault="00AC1EAF" w:rsidP="009B0D91">
      <w:pPr>
        <w:ind w:firstLine="708"/>
      </w:pPr>
      <w:r>
        <w:t xml:space="preserve">В результате указанного анализа выяснилось, что расходную часть Сметы </w:t>
      </w:r>
      <w:r w:rsidRPr="00AC1EAF">
        <w:t xml:space="preserve">можно разделить на две основные </w:t>
      </w:r>
      <w:r w:rsidR="008770DD">
        <w:t>категории</w:t>
      </w:r>
      <w:r>
        <w:t xml:space="preserve">: расходы, которые необходимо связать с площадью </w:t>
      </w:r>
      <w:r w:rsidR="00637F50">
        <w:t xml:space="preserve">садового </w:t>
      </w:r>
      <w:r>
        <w:t>участка и расходы, которые от нее не зависят.</w:t>
      </w:r>
    </w:p>
    <w:p w:rsidR="00D50C87" w:rsidRDefault="00BA04F4" w:rsidP="00B445AB">
      <w:pPr>
        <w:ind w:firstLine="708"/>
      </w:pPr>
      <w:r>
        <w:t>Характер расходов статьи</w:t>
      </w:r>
      <w:r w:rsidR="00D50C87" w:rsidRPr="00D50C87">
        <w:t xml:space="preserve"> </w:t>
      </w:r>
      <w:r>
        <w:t xml:space="preserve">Сметы «Непредвиденные расходы» </w:t>
      </w:r>
      <w:r w:rsidR="00D50C87" w:rsidRPr="00D50C87">
        <w:t xml:space="preserve">в </w:t>
      </w:r>
      <w:r w:rsidR="00D50C87">
        <w:t>последующие</w:t>
      </w:r>
      <w:r w:rsidR="00D50C87" w:rsidRPr="00D50C87">
        <w:t xml:space="preserve"> периоды</w:t>
      </w:r>
      <w:r w:rsidR="00D50C87">
        <w:t xml:space="preserve"> времени определить не представляется возможным</w:t>
      </w:r>
      <w:r>
        <w:t>,</w:t>
      </w:r>
      <w:r w:rsidR="00D50C87">
        <w:t xml:space="preserve"> он </w:t>
      </w:r>
      <w:r>
        <w:t xml:space="preserve">может относиться </w:t>
      </w:r>
      <w:r w:rsidR="00D50C87">
        <w:t>как к</w:t>
      </w:r>
      <w:r>
        <w:t xml:space="preserve"> первой</w:t>
      </w:r>
      <w:r w:rsidR="00D50C87">
        <w:t xml:space="preserve">, так и </w:t>
      </w:r>
      <w:r>
        <w:t xml:space="preserve">ко второй </w:t>
      </w:r>
      <w:r w:rsidR="008770DD" w:rsidRPr="008770DD">
        <w:t>категори</w:t>
      </w:r>
      <w:r w:rsidR="008770DD">
        <w:t>ям</w:t>
      </w:r>
      <w:r w:rsidR="00D50C87">
        <w:t>, в связи с чем</w:t>
      </w:r>
      <w:r w:rsidR="001E6A2B">
        <w:t xml:space="preserve">, при проведении указанного анализа </w:t>
      </w:r>
      <w:r w:rsidR="00D50C87">
        <w:t xml:space="preserve">он выделен </w:t>
      </w:r>
      <w:r w:rsidR="00D50C87" w:rsidRPr="00D50C87">
        <w:t xml:space="preserve">в отдельную </w:t>
      </w:r>
      <w:r w:rsidR="008770DD">
        <w:t>категорию</w:t>
      </w:r>
      <w:r w:rsidR="00D50C87">
        <w:t>.</w:t>
      </w:r>
    </w:p>
    <w:p w:rsidR="002C5002" w:rsidRPr="00745A8D" w:rsidRDefault="00DA56E2" w:rsidP="00DA56E2">
      <w:pPr>
        <w:ind w:firstLine="708"/>
      </w:pPr>
      <w:r>
        <w:t>По нашему мнению</w:t>
      </w:r>
      <w:r w:rsidR="007F0885" w:rsidRPr="007F0885">
        <w:t>, для</w:t>
      </w:r>
      <w:r w:rsidR="00C42012" w:rsidRPr="007F0885">
        <w:t xml:space="preserve"> оптимизации </w:t>
      </w:r>
      <w:r w:rsidR="007F0885" w:rsidRPr="007F0885">
        <w:t>создаваемого</w:t>
      </w:r>
      <w:r w:rsidR="005634B0" w:rsidRPr="007F0885">
        <w:t xml:space="preserve"> </w:t>
      </w:r>
      <w:r w:rsidR="007F0885" w:rsidRPr="007F0885">
        <w:t>порядка (</w:t>
      </w:r>
      <w:r w:rsidR="00C42012" w:rsidRPr="007F0885">
        <w:t>принципа</w:t>
      </w:r>
      <w:r w:rsidR="007F0885" w:rsidRPr="007F0885">
        <w:t>)</w:t>
      </w:r>
      <w:r w:rsidR="00C42012" w:rsidRPr="007F0885">
        <w:t xml:space="preserve"> учета</w:t>
      </w:r>
      <w:r w:rsidR="001242AD" w:rsidRPr="007F0885">
        <w:t xml:space="preserve">, </w:t>
      </w:r>
      <w:r w:rsidR="007F0885" w:rsidRPr="007F0885">
        <w:t>предлагается</w:t>
      </w:r>
      <w:r w:rsidR="001242AD" w:rsidRPr="007F0885">
        <w:t xml:space="preserve"> причислить</w:t>
      </w:r>
      <w:r w:rsidR="001242AD" w:rsidRPr="001242AD">
        <w:t xml:space="preserve"> расходы статьи Сметы «Непредвиденные расходы» к одной из двух </w:t>
      </w:r>
      <w:r w:rsidR="008770DD" w:rsidRPr="008770DD">
        <w:t>категори</w:t>
      </w:r>
      <w:r w:rsidR="008770DD">
        <w:t>й</w:t>
      </w:r>
      <w:r w:rsidR="001242AD" w:rsidRPr="00745A8D">
        <w:t>, по решению Общего собрания СНТ</w:t>
      </w:r>
      <w:r w:rsidR="002C5002" w:rsidRPr="00745A8D">
        <w:t>.</w:t>
      </w:r>
    </w:p>
    <w:p w:rsidR="00323D3E" w:rsidRPr="00745A8D" w:rsidRDefault="002C5002" w:rsidP="00340805">
      <w:pPr>
        <w:ind w:firstLine="360"/>
      </w:pPr>
      <w:r w:rsidRPr="002C5002">
        <w:t xml:space="preserve">В случае значительного, фактического превышения </w:t>
      </w:r>
      <w:r>
        <w:t xml:space="preserve">сумм </w:t>
      </w:r>
      <w:r w:rsidRPr="002C5002">
        <w:t>«Непредвиденных расходов» над запланированными,</w:t>
      </w:r>
      <w:r w:rsidR="004C0845">
        <w:t xml:space="preserve"> в отдельные учетные периоды,</w:t>
      </w:r>
      <w:r w:rsidRPr="002C5002">
        <w:t xml:space="preserve"> вопрос отнесение их к одной из </w:t>
      </w:r>
      <w:r w:rsidR="008770DD">
        <w:t>категорий</w:t>
      </w:r>
      <w:r w:rsidRPr="002C5002">
        <w:t xml:space="preserve"> </w:t>
      </w:r>
      <w:r w:rsidRPr="00745A8D">
        <w:t>должен рассматриваться отдельно,</w:t>
      </w:r>
      <w:r w:rsidR="00323D3E" w:rsidRPr="00745A8D">
        <w:t xml:space="preserve"> в зависимости от характера расходов на Общем собрании СНТ.</w:t>
      </w:r>
    </w:p>
    <w:p w:rsidR="00D146AA" w:rsidRPr="007716E3" w:rsidRDefault="00452317" w:rsidP="00B4216A">
      <w:pPr>
        <w:pStyle w:val="a3"/>
        <w:numPr>
          <w:ilvl w:val="0"/>
          <w:numId w:val="1"/>
        </w:numPr>
        <w:rPr>
          <w:sz w:val="28"/>
          <w:szCs w:val="28"/>
        </w:rPr>
      </w:pPr>
      <w:r w:rsidRPr="00852FD4">
        <w:rPr>
          <w:b/>
          <w:sz w:val="28"/>
          <w:szCs w:val="28"/>
        </w:rPr>
        <w:t>Д</w:t>
      </w:r>
      <w:r w:rsidR="00B4216A" w:rsidRPr="00852FD4">
        <w:rPr>
          <w:b/>
          <w:sz w:val="28"/>
          <w:szCs w:val="28"/>
        </w:rPr>
        <w:t>опущения</w:t>
      </w:r>
      <w:r w:rsidR="007716E3">
        <w:rPr>
          <w:b/>
          <w:sz w:val="28"/>
          <w:szCs w:val="28"/>
        </w:rPr>
        <w:t xml:space="preserve"> и</w:t>
      </w:r>
      <w:r w:rsidRPr="00852FD4">
        <w:rPr>
          <w:b/>
          <w:sz w:val="28"/>
          <w:szCs w:val="28"/>
        </w:rPr>
        <w:t xml:space="preserve"> </w:t>
      </w:r>
      <w:r w:rsidR="00B4216A" w:rsidRPr="00852FD4">
        <w:rPr>
          <w:b/>
          <w:sz w:val="28"/>
          <w:szCs w:val="28"/>
        </w:rPr>
        <w:t>неточности анализа</w:t>
      </w:r>
      <w:r w:rsidR="00454FED" w:rsidRPr="00852FD4">
        <w:rPr>
          <w:b/>
          <w:sz w:val="28"/>
          <w:szCs w:val="28"/>
        </w:rPr>
        <w:t xml:space="preserve"> Смет прошлых периодов</w:t>
      </w:r>
      <w:r w:rsidR="003F33AC">
        <w:rPr>
          <w:b/>
          <w:sz w:val="28"/>
          <w:szCs w:val="28"/>
        </w:rPr>
        <w:t xml:space="preserve">, </w:t>
      </w:r>
      <w:r w:rsidR="007716E3" w:rsidRPr="007716E3">
        <w:rPr>
          <w:sz w:val="28"/>
          <w:szCs w:val="28"/>
        </w:rPr>
        <w:t>имеющие место в</w:t>
      </w:r>
      <w:r w:rsidR="00AD3985" w:rsidRPr="007716E3">
        <w:rPr>
          <w:sz w:val="28"/>
          <w:szCs w:val="28"/>
        </w:rPr>
        <w:t xml:space="preserve"> </w:t>
      </w:r>
      <w:r w:rsidRPr="007716E3">
        <w:rPr>
          <w:sz w:val="28"/>
          <w:szCs w:val="28"/>
        </w:rPr>
        <w:t>Приложени</w:t>
      </w:r>
      <w:r w:rsidR="003F33AC" w:rsidRPr="007716E3">
        <w:rPr>
          <w:sz w:val="28"/>
          <w:szCs w:val="28"/>
        </w:rPr>
        <w:t>и</w:t>
      </w:r>
      <w:r w:rsidRPr="007716E3">
        <w:rPr>
          <w:sz w:val="28"/>
          <w:szCs w:val="28"/>
        </w:rPr>
        <w:t xml:space="preserve"> №1</w:t>
      </w:r>
    </w:p>
    <w:p w:rsidR="00DF3E6E" w:rsidRDefault="00DF3E6E" w:rsidP="00DF3E6E">
      <w:r w:rsidRPr="00745A8D">
        <w:t xml:space="preserve">- </w:t>
      </w:r>
      <w:r w:rsidR="00B4216A" w:rsidRPr="00745A8D">
        <w:t>Д</w:t>
      </w:r>
      <w:r w:rsidRPr="00745A8D">
        <w:t>ля анализа использованы Сметы, в том варианте, который имелся в нашем распоряжении;</w:t>
      </w:r>
    </w:p>
    <w:p w:rsidR="00DF3E6E" w:rsidRDefault="00DF3E6E" w:rsidP="00DF3E6E">
      <w:r>
        <w:t>- для удобства визуального восприятия информации в таблицах (</w:t>
      </w:r>
      <w:r w:rsidR="000A3853">
        <w:t>С</w:t>
      </w:r>
      <w:r>
        <w:t>метах), в отдельных местах</w:t>
      </w:r>
      <w:r w:rsidR="000A3853">
        <w:t>,</w:t>
      </w:r>
    </w:p>
    <w:p w:rsidR="00DF3E6E" w:rsidRDefault="00DF3E6E" w:rsidP="008252AF">
      <w:r>
        <w:t xml:space="preserve"> изменен порядок следования статей </w:t>
      </w:r>
      <w:r w:rsidR="0098360D">
        <w:t>С</w:t>
      </w:r>
      <w:r>
        <w:t xml:space="preserve">меты, </w:t>
      </w:r>
      <w:r w:rsidR="00184F0A">
        <w:t xml:space="preserve">незначительно изменен текст, </w:t>
      </w:r>
      <w:r>
        <w:t>значения не изменялись;</w:t>
      </w:r>
    </w:p>
    <w:p w:rsidR="00DF3E6E" w:rsidRDefault="00DF3E6E" w:rsidP="008252AF">
      <w:r>
        <w:t>- имеют место некоторые неточности, не влияющие на качество анализа</w:t>
      </w:r>
      <w:r w:rsidR="00EE7D2F">
        <w:t xml:space="preserve">, </w:t>
      </w:r>
      <w:r w:rsidR="008A0BA0">
        <w:t xml:space="preserve">в частности итоговая сумма, выраженная в </w:t>
      </w:r>
      <w:r w:rsidR="008A0BA0" w:rsidRPr="008A0BA0">
        <w:rPr>
          <w:b/>
        </w:rPr>
        <w:t>%</w:t>
      </w:r>
      <w:r w:rsidR="008A0BA0">
        <w:t xml:space="preserve"> в отдельных местах менее 100%</w:t>
      </w:r>
      <w:r w:rsidR="00EE7D2F">
        <w:t xml:space="preserve"> (</w:t>
      </w:r>
      <w:r w:rsidR="008A0BA0">
        <w:t>например</w:t>
      </w:r>
      <w:r w:rsidR="00EE7D2F">
        <w:t>,</w:t>
      </w:r>
      <w:r w:rsidR="008A0BA0">
        <w:t xml:space="preserve"> равна 98,78% и </w:t>
      </w:r>
      <w:r w:rsidR="00EE7D2F">
        <w:t>др.</w:t>
      </w:r>
      <w:r w:rsidR="008A0BA0">
        <w:t>)</w:t>
      </w:r>
      <w:r w:rsidR="00EE7D2F">
        <w:t>.</w:t>
      </w:r>
      <w:r w:rsidR="008A0BA0">
        <w:t xml:space="preserve"> </w:t>
      </w:r>
    </w:p>
    <w:p w:rsidR="00B4216A" w:rsidRPr="00852FD4" w:rsidRDefault="00C20704" w:rsidP="00C2070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 xml:space="preserve">Форма представления информации </w:t>
      </w:r>
      <w:r w:rsidRPr="003634AD">
        <w:rPr>
          <w:sz w:val="28"/>
          <w:szCs w:val="28"/>
        </w:rPr>
        <w:t>в Приложени</w:t>
      </w:r>
      <w:r w:rsidR="00FC2E2A" w:rsidRPr="003634AD">
        <w:rPr>
          <w:sz w:val="28"/>
          <w:szCs w:val="28"/>
        </w:rPr>
        <w:t>и</w:t>
      </w:r>
      <w:r w:rsidRPr="003634AD">
        <w:rPr>
          <w:sz w:val="28"/>
          <w:szCs w:val="28"/>
        </w:rPr>
        <w:t xml:space="preserve"> №1</w:t>
      </w:r>
    </w:p>
    <w:p w:rsidR="006D4B5B" w:rsidRDefault="004D299C" w:rsidP="000A3853">
      <w:pPr>
        <w:ind w:firstLine="360"/>
      </w:pPr>
      <w:r>
        <w:t xml:space="preserve">На листе </w:t>
      </w:r>
      <w:r w:rsidR="00092D2A">
        <w:t>Приложения</w:t>
      </w:r>
      <w:r w:rsidR="00295589">
        <w:t xml:space="preserve"> </w:t>
      </w:r>
      <w:r w:rsidR="00092D2A">
        <w:t xml:space="preserve">№1 </w:t>
      </w:r>
      <w:r>
        <w:t xml:space="preserve">расположено </w:t>
      </w:r>
      <w:r w:rsidR="00295589">
        <w:t>4</w:t>
      </w:r>
      <w:r w:rsidRPr="00577E27">
        <w:t xml:space="preserve"> группы</w:t>
      </w:r>
      <w:r>
        <w:t xml:space="preserve"> подобных </w:t>
      </w:r>
      <w:r w:rsidR="008770DD">
        <w:t xml:space="preserve">друг другу </w:t>
      </w:r>
      <w:r>
        <w:t>таблиц</w:t>
      </w:r>
      <w:r w:rsidR="008770DD">
        <w:t>,</w:t>
      </w:r>
      <w:r>
        <w:t xml:space="preserve"> по 2 таблицы в каждой группе</w:t>
      </w:r>
      <w:r w:rsidR="00B37040">
        <w:t xml:space="preserve"> (</w:t>
      </w:r>
      <w:r w:rsidR="00A94512" w:rsidRPr="0092381B">
        <w:rPr>
          <w:b/>
        </w:rPr>
        <w:t>т</w:t>
      </w:r>
      <w:r w:rsidR="00B37040" w:rsidRPr="0092381B">
        <w:rPr>
          <w:b/>
        </w:rPr>
        <w:t>аблицы №1-№8</w:t>
      </w:r>
      <w:r w:rsidR="00B37040">
        <w:t>)</w:t>
      </w:r>
      <w:r w:rsidR="00577E27">
        <w:t>.</w:t>
      </w:r>
    </w:p>
    <w:p w:rsidR="006D4B5B" w:rsidRDefault="00577E27" w:rsidP="006D4B5B">
      <w:pPr>
        <w:ind w:firstLine="708"/>
      </w:pPr>
      <w:r>
        <w:t>П</w:t>
      </w:r>
      <w:r w:rsidR="004D299C">
        <w:t xml:space="preserve">ервая таблица в группе – </w:t>
      </w:r>
      <w:r w:rsidR="00092D2A">
        <w:t>это «</w:t>
      </w:r>
      <w:r w:rsidR="004D299C" w:rsidRPr="00092D2A">
        <w:rPr>
          <w:i/>
        </w:rPr>
        <w:t>Смета</w:t>
      </w:r>
      <w:r w:rsidR="00127832">
        <w:rPr>
          <w:i/>
        </w:rPr>
        <w:t xml:space="preserve">» </w:t>
      </w:r>
      <w:r w:rsidR="00092D2A" w:rsidRPr="00127832">
        <w:t>за соответствующий учетный период</w:t>
      </w:r>
      <w:r w:rsidR="00A94512">
        <w:t xml:space="preserve"> (</w:t>
      </w:r>
      <w:r w:rsidR="00A94512" w:rsidRPr="006E3687">
        <w:rPr>
          <w:b/>
        </w:rPr>
        <w:t>таблицы №1, №3, №5, №7</w:t>
      </w:r>
      <w:r w:rsidR="00A94512">
        <w:t>)</w:t>
      </w:r>
      <w:r w:rsidR="004D299C" w:rsidRPr="00127832">
        <w:t>,</w:t>
      </w:r>
      <w:r w:rsidR="004D299C">
        <w:t xml:space="preserve"> вторая,</w:t>
      </w:r>
      <w:r w:rsidR="00092D2A">
        <w:t xml:space="preserve"> </w:t>
      </w:r>
      <w:r w:rsidR="004D299C">
        <w:t xml:space="preserve">- таблица </w:t>
      </w:r>
      <w:r w:rsidR="004D299C" w:rsidRPr="00092D2A">
        <w:rPr>
          <w:i/>
        </w:rPr>
        <w:t>«Распределение расходов по принципам расчета, СМЕТА на</w:t>
      </w:r>
      <w:proofErr w:type="gramStart"/>
      <w:r w:rsidR="004D299C" w:rsidRPr="00092D2A">
        <w:rPr>
          <w:i/>
        </w:rPr>
        <w:t xml:space="preserve"> ….</w:t>
      </w:r>
      <w:proofErr w:type="gramEnd"/>
      <w:r w:rsidR="004D299C" w:rsidRPr="00092D2A">
        <w:rPr>
          <w:i/>
        </w:rPr>
        <w:t>г. (%)»</w:t>
      </w:r>
      <w:r w:rsidR="00A94512">
        <w:rPr>
          <w:i/>
        </w:rPr>
        <w:t xml:space="preserve"> </w:t>
      </w:r>
      <w:r w:rsidR="00A94512" w:rsidRPr="00A94512">
        <w:t>(</w:t>
      </w:r>
      <w:r w:rsidR="00A94512" w:rsidRPr="006E3687">
        <w:rPr>
          <w:b/>
        </w:rPr>
        <w:t>таблицы №2, №4, №6, №8</w:t>
      </w:r>
      <w:r w:rsidR="00A94512" w:rsidRPr="00A94512">
        <w:t>),</w:t>
      </w:r>
      <w:r w:rsidR="00A94512" w:rsidRPr="00A94512">
        <w:rPr>
          <w:i/>
        </w:rPr>
        <w:t xml:space="preserve"> </w:t>
      </w:r>
      <w:r w:rsidR="004D299C">
        <w:t xml:space="preserve"> в котор</w:t>
      </w:r>
      <w:r w:rsidR="00A94512">
        <w:t>ых</w:t>
      </w:r>
      <w:r w:rsidR="004D299C">
        <w:t xml:space="preserve"> отража</w:t>
      </w:r>
      <w:r w:rsidR="00A94512">
        <w:t>е</w:t>
      </w:r>
      <w:r w:rsidR="004D299C">
        <w:t xml:space="preserve">тся распределение затрат </w:t>
      </w:r>
      <w:r>
        <w:t xml:space="preserve"> по категориям, с указанием соответствующей статьи Сметы и объема расходов, выраженная в процентах (%).</w:t>
      </w:r>
    </w:p>
    <w:p w:rsidR="004D299C" w:rsidRPr="005A4FEA" w:rsidRDefault="002D2134" w:rsidP="006D4B5B">
      <w:pPr>
        <w:ind w:firstLine="708"/>
        <w:rPr>
          <w:b/>
        </w:rPr>
      </w:pPr>
      <w:r w:rsidRPr="005A4FEA">
        <w:rPr>
          <w:b/>
        </w:rPr>
        <w:t>К</w:t>
      </w:r>
      <w:r w:rsidR="00642215" w:rsidRPr="005A4FEA">
        <w:rPr>
          <w:b/>
        </w:rPr>
        <w:t xml:space="preserve">аждая группа отделена от другой коричневой полосой. </w:t>
      </w:r>
    </w:p>
    <w:p w:rsidR="008A0BA0" w:rsidRDefault="00516560" w:rsidP="006D4B5B">
      <w:pPr>
        <w:ind w:firstLine="708"/>
      </w:pPr>
      <w:r>
        <w:t xml:space="preserve">Для удобства анализа каждая </w:t>
      </w:r>
      <w:r w:rsidR="00577E27">
        <w:t xml:space="preserve">статья </w:t>
      </w:r>
      <w:r>
        <w:t>Смет</w:t>
      </w:r>
      <w:r w:rsidR="00577E27">
        <w:t>ы</w:t>
      </w:r>
      <w:r>
        <w:t xml:space="preserve"> </w:t>
      </w:r>
      <w:r w:rsidRPr="00092D2A">
        <w:t xml:space="preserve">дополнена </w:t>
      </w:r>
      <w:r w:rsidR="00577E27" w:rsidRPr="00092D2A">
        <w:t>информацией</w:t>
      </w:r>
      <w:r w:rsidRPr="00092D2A">
        <w:t>, выражающ</w:t>
      </w:r>
      <w:r w:rsidR="00292C3D" w:rsidRPr="00092D2A">
        <w:t>ей</w:t>
      </w:r>
      <w:r>
        <w:t xml:space="preserve"> сумму расходов </w:t>
      </w:r>
      <w:r w:rsidR="00292C3D">
        <w:t>по данной статье в</w:t>
      </w:r>
      <w:r>
        <w:t xml:space="preserve"> виде процента </w:t>
      </w:r>
      <w:r w:rsidRPr="00295589">
        <w:rPr>
          <w:b/>
        </w:rPr>
        <w:t>(%)</w:t>
      </w:r>
      <w:r>
        <w:t xml:space="preserve"> от общей суммы Сметы</w:t>
      </w:r>
      <w:r w:rsidR="00064C19">
        <w:t>.</w:t>
      </w:r>
    </w:p>
    <w:p w:rsidR="00064C19" w:rsidRDefault="00064C19" w:rsidP="00D436DC">
      <w:pPr>
        <w:ind w:firstLine="360"/>
      </w:pPr>
      <w:r w:rsidRPr="002D2134">
        <w:t xml:space="preserve">В нижней части листа </w:t>
      </w:r>
      <w:r w:rsidR="00893761" w:rsidRPr="00893761">
        <w:t xml:space="preserve">Приложения №1 </w:t>
      </w:r>
      <w:r w:rsidRPr="002D2134">
        <w:t xml:space="preserve">расположена </w:t>
      </w:r>
      <w:r w:rsidRPr="000108BC">
        <w:rPr>
          <w:i/>
        </w:rPr>
        <w:t>«Сводная таблица распределения финансовых средств в Приходно-р</w:t>
      </w:r>
      <w:r w:rsidR="00BE4972" w:rsidRPr="000108BC">
        <w:rPr>
          <w:i/>
        </w:rPr>
        <w:t>а</w:t>
      </w:r>
      <w:r w:rsidRPr="000108BC">
        <w:rPr>
          <w:i/>
        </w:rPr>
        <w:t>сходных сметах, исходя из принципа расчета (%)»</w:t>
      </w:r>
      <w:r w:rsidR="000B57E0">
        <w:rPr>
          <w:i/>
        </w:rPr>
        <w:t xml:space="preserve"> </w:t>
      </w:r>
      <w:r w:rsidR="000B57E0" w:rsidRPr="000B57E0">
        <w:t>(</w:t>
      </w:r>
      <w:r w:rsidR="00755AB3" w:rsidRPr="00D436DC">
        <w:rPr>
          <w:b/>
        </w:rPr>
        <w:t>т</w:t>
      </w:r>
      <w:r w:rsidR="000B57E0" w:rsidRPr="00D436DC">
        <w:rPr>
          <w:b/>
        </w:rPr>
        <w:t>аблица №9</w:t>
      </w:r>
      <w:r w:rsidR="000B57E0" w:rsidRPr="000B57E0">
        <w:t>)</w:t>
      </w:r>
      <w:r w:rsidR="00C410CF" w:rsidRPr="000B57E0">
        <w:t>,</w:t>
      </w:r>
      <w:r w:rsidR="00C410CF" w:rsidRPr="002D2134">
        <w:t xml:space="preserve"> отражающая результаты анализа в виде процента (%) от общей суммы Сметы</w:t>
      </w:r>
      <w:r w:rsidR="002D2134" w:rsidRPr="002D2134">
        <w:t>, как наиболее удобной для оценки результата</w:t>
      </w:r>
      <w:r w:rsidR="00C410CF" w:rsidRPr="002D2134">
        <w:t>.</w:t>
      </w:r>
    </w:p>
    <w:p w:rsidR="00970A9A" w:rsidRPr="00852FD4" w:rsidRDefault="00970A9A" w:rsidP="00A9624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>Распределение расходов по категориям</w:t>
      </w:r>
    </w:p>
    <w:p w:rsidR="001B2295" w:rsidRDefault="00A47692" w:rsidP="007B59A0">
      <w:pPr>
        <w:ind w:firstLine="360"/>
      </w:pPr>
      <w:r>
        <w:t>Как указ</w:t>
      </w:r>
      <w:r w:rsidR="003E3339">
        <w:t>ано</w:t>
      </w:r>
      <w:r w:rsidR="00C9019E">
        <w:t xml:space="preserve"> </w:t>
      </w:r>
      <w:r>
        <w:t>выше</w:t>
      </w:r>
      <w:r w:rsidR="00744337">
        <w:t>,</w:t>
      </w:r>
      <w:r>
        <w:t xml:space="preserve"> расходная часть Сметы разделена на две основные категории: расходы, которые непосредственно связаны с площадью участка и расходы, </w:t>
      </w:r>
      <w:r w:rsidR="003952F3">
        <w:t xml:space="preserve">на </w:t>
      </w:r>
      <w:r>
        <w:t xml:space="preserve">которые </w:t>
      </w:r>
      <w:r w:rsidR="003952F3">
        <w:t>площадь участка не влияет</w:t>
      </w:r>
      <w:r w:rsidRPr="00744337">
        <w:t>.</w:t>
      </w:r>
      <w:r w:rsidR="00744337" w:rsidRPr="00744337">
        <w:t xml:space="preserve"> </w:t>
      </w:r>
      <w:r w:rsidR="00744337" w:rsidRPr="00FB421B">
        <w:rPr>
          <w:b/>
        </w:rPr>
        <w:t xml:space="preserve">В </w:t>
      </w:r>
      <w:r w:rsidR="00744337" w:rsidRPr="00D414B8">
        <w:rPr>
          <w:b/>
        </w:rPr>
        <w:t>Приложении №2</w:t>
      </w:r>
      <w:r w:rsidR="00744337" w:rsidRPr="00744337">
        <w:t xml:space="preserve"> показано это разделение и дано обоснование причин включения каждой статьи расходов в ту или иную категорию.</w:t>
      </w:r>
    </w:p>
    <w:p w:rsidR="00D414B8" w:rsidRDefault="001B2295" w:rsidP="0054263B">
      <w:pPr>
        <w:ind w:firstLine="360"/>
      </w:pPr>
      <w:r>
        <w:t xml:space="preserve">Необходимо отметить, что при отнесении расходов к одной из категорий имели место некоторые </w:t>
      </w:r>
      <w:r w:rsidRPr="00616A8A">
        <w:t>вынужденные</w:t>
      </w:r>
      <w:r w:rsidRPr="003E3339">
        <w:rPr>
          <w:b/>
        </w:rPr>
        <w:t xml:space="preserve"> допущения</w:t>
      </w:r>
      <w:r>
        <w:t>, например</w:t>
      </w:r>
      <w:r w:rsidR="003E3339">
        <w:t>,</w:t>
      </w:r>
      <w:r>
        <w:t xml:space="preserve"> </w:t>
      </w:r>
      <w:r w:rsidR="00C9019E">
        <w:t>п.</w:t>
      </w:r>
      <w:r w:rsidR="00C9019E" w:rsidRPr="00C9019E">
        <w:t>10.2</w:t>
      </w:r>
      <w:r w:rsidR="00C9019E">
        <w:t xml:space="preserve"> (</w:t>
      </w:r>
      <w:r w:rsidR="00C9019E" w:rsidRPr="00C9019E">
        <w:t>Замена ламп</w:t>
      </w:r>
      <w:r w:rsidR="00C9019E">
        <w:t>ы</w:t>
      </w:r>
      <w:r w:rsidR="00C9019E" w:rsidRPr="00C9019E">
        <w:t>/фонар</w:t>
      </w:r>
      <w:r w:rsidR="00C9019E">
        <w:t>и</w:t>
      </w:r>
      <w:r w:rsidR="00C9019E" w:rsidRPr="00C9019E">
        <w:t xml:space="preserve"> /счетчики</w:t>
      </w:r>
      <w:r w:rsidR="00C9019E">
        <w:t>) и п.</w:t>
      </w:r>
      <w:r w:rsidR="00C9019E" w:rsidRPr="00C9019E">
        <w:t>10.3</w:t>
      </w:r>
      <w:r w:rsidR="00C9019E">
        <w:t xml:space="preserve"> («</w:t>
      </w:r>
      <w:proofErr w:type="spellStart"/>
      <w:r w:rsidR="00C9019E" w:rsidRPr="00C9019E">
        <w:t>Энергопотери</w:t>
      </w:r>
      <w:proofErr w:type="spellEnd"/>
      <w:r w:rsidR="00C9019E" w:rsidRPr="00C9019E">
        <w:t>": уличное осв</w:t>
      </w:r>
      <w:r w:rsidR="00C9019E">
        <w:t>е</w:t>
      </w:r>
      <w:r w:rsidR="00C9019E" w:rsidRPr="00C9019E">
        <w:t>щение, потери в сети, ворота, домик правления</w:t>
      </w:r>
      <w:r w:rsidR="00C9019E">
        <w:t>) Смет было бы логичным отнести к категории «</w:t>
      </w:r>
      <w:r w:rsidR="00C9019E" w:rsidRPr="00C9019E">
        <w:t>По количеству владельцев участков</w:t>
      </w:r>
      <w:r w:rsidR="003E3339">
        <w:t>»</w:t>
      </w:r>
      <w:r w:rsidR="00DF44C7">
        <w:t>.</w:t>
      </w:r>
      <w:r>
        <w:t xml:space="preserve">  </w:t>
      </w:r>
    </w:p>
    <w:p w:rsidR="001B2295" w:rsidRDefault="001B2295" w:rsidP="0054263B">
      <w:pPr>
        <w:ind w:firstLine="360"/>
      </w:pPr>
      <w:r>
        <w:t xml:space="preserve">Введение данных допущений позволило </w:t>
      </w:r>
      <w:r w:rsidRPr="00964DAA">
        <w:rPr>
          <w:b/>
        </w:rPr>
        <w:t>максимально упростить предлагаемый принцип</w:t>
      </w:r>
      <w:r>
        <w:t xml:space="preserve"> расчета сумм взносов </w:t>
      </w:r>
      <w:r w:rsidRPr="003952F3">
        <w:t xml:space="preserve">и </w:t>
      </w:r>
      <w:r w:rsidR="00927BDF" w:rsidRPr="003952F3">
        <w:t xml:space="preserve">приблизить </w:t>
      </w:r>
      <w:r w:rsidR="00D414B8" w:rsidRPr="003952F3">
        <w:t xml:space="preserve">результаты </w:t>
      </w:r>
      <w:r w:rsidR="00927BDF" w:rsidRPr="003952F3">
        <w:t xml:space="preserve">его </w:t>
      </w:r>
      <w:r w:rsidR="00D414B8" w:rsidRPr="003952F3">
        <w:t xml:space="preserve">применения </w:t>
      </w:r>
      <w:r w:rsidR="00927BDF" w:rsidRPr="003952F3">
        <w:t>к справедливому распределению</w:t>
      </w:r>
      <w:r w:rsidR="00D414B8" w:rsidRPr="00D414B8">
        <w:t xml:space="preserve"> финансовой нагрузки</w:t>
      </w:r>
      <w:r w:rsidR="00D414B8">
        <w:t xml:space="preserve"> между </w:t>
      </w:r>
      <w:r w:rsidR="0054263B" w:rsidRPr="0054263B">
        <w:t>владельц</w:t>
      </w:r>
      <w:r w:rsidR="0054263B">
        <w:t>ами</w:t>
      </w:r>
      <w:r w:rsidR="0054263B" w:rsidRPr="0054263B">
        <w:t xml:space="preserve"> участков</w:t>
      </w:r>
      <w:r w:rsidR="00DF44C7">
        <w:t xml:space="preserve">. В то же время это позволило </w:t>
      </w:r>
      <w:r w:rsidR="00DF44C7" w:rsidRPr="00964DAA">
        <w:rPr>
          <w:b/>
        </w:rPr>
        <w:t>снизить финансовую нагрузку на владельцев небольших участков</w:t>
      </w:r>
      <w:r w:rsidR="00D414B8">
        <w:t>.</w:t>
      </w:r>
    </w:p>
    <w:p w:rsidR="00D414B8" w:rsidRPr="00852FD4" w:rsidRDefault="00AB6416" w:rsidP="00D414B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>Результаты анализа</w:t>
      </w:r>
    </w:p>
    <w:p w:rsidR="00642215" w:rsidRPr="00B33E04" w:rsidRDefault="00642215" w:rsidP="00603888">
      <w:pPr>
        <w:ind w:firstLine="360"/>
      </w:pPr>
      <w:r>
        <w:t>Результаты проведенного анализа отраж</w:t>
      </w:r>
      <w:r w:rsidR="005D5FD0">
        <w:t>ает</w:t>
      </w:r>
      <w:r>
        <w:t xml:space="preserve"> </w:t>
      </w:r>
      <w:r w:rsidR="00705359" w:rsidRPr="00C07FA7">
        <w:rPr>
          <w:b/>
        </w:rPr>
        <w:t>таблица №9</w:t>
      </w:r>
      <w:r w:rsidR="00B33E04" w:rsidRPr="00B33E04">
        <w:t xml:space="preserve"> Приложения</w:t>
      </w:r>
      <w:r w:rsidR="00705359">
        <w:t xml:space="preserve"> </w:t>
      </w:r>
      <w:r w:rsidR="00B33E04" w:rsidRPr="00B33E04">
        <w:t>№</w:t>
      </w:r>
      <w:r w:rsidR="00B33E04">
        <w:t>1.</w:t>
      </w:r>
    </w:p>
    <w:p w:rsidR="00B33E04" w:rsidRPr="00B33E04" w:rsidRDefault="00713278" w:rsidP="003E579B">
      <w:pPr>
        <w:ind w:firstLine="360"/>
      </w:pPr>
      <w:r w:rsidRPr="00B33E04">
        <w:t xml:space="preserve">В этой таблице </w:t>
      </w:r>
      <w:r w:rsidR="00B33E04" w:rsidRPr="00B33E04">
        <w:t>представлены</w:t>
      </w:r>
      <w:r w:rsidRPr="00B33E04">
        <w:t xml:space="preserve"> результаты сравнения показателей </w:t>
      </w:r>
      <w:r w:rsidR="00705359">
        <w:t>четырех</w:t>
      </w:r>
      <w:r w:rsidRPr="00B33E04">
        <w:t xml:space="preserve"> Смет, выраженные в виде процента (%) от общей суммы</w:t>
      </w:r>
      <w:r w:rsidR="00B33E04" w:rsidRPr="00B33E04">
        <w:t xml:space="preserve"> расходов соответствующей </w:t>
      </w:r>
      <w:r w:rsidRPr="00B33E04">
        <w:t xml:space="preserve">Сметы, причем Смета за 2021г </w:t>
      </w:r>
      <w:r w:rsidR="00B33E04" w:rsidRPr="00B33E04">
        <w:t xml:space="preserve">отражает </w:t>
      </w:r>
      <w:r w:rsidRPr="00B33E04">
        <w:t>плановые и фактические показатели</w:t>
      </w:r>
      <w:r w:rsidR="00B33E04" w:rsidRPr="00B33E04">
        <w:t>.</w:t>
      </w:r>
    </w:p>
    <w:p w:rsidR="003D6F88" w:rsidRDefault="00B33E04" w:rsidP="003E579B">
      <w:pPr>
        <w:ind w:firstLine="360"/>
        <w:rPr>
          <w:b/>
        </w:rPr>
      </w:pPr>
      <w:r w:rsidRPr="005B78A7">
        <w:t xml:space="preserve">Итоговым результатом анализа являются, отраженные в </w:t>
      </w:r>
      <w:r w:rsidR="00F4423E">
        <w:t xml:space="preserve">выше </w:t>
      </w:r>
      <w:r w:rsidRPr="005B78A7">
        <w:t>указанной таблице</w:t>
      </w:r>
      <w:r w:rsidR="00E9758B">
        <w:t xml:space="preserve"> №9</w:t>
      </w:r>
      <w:r w:rsidRPr="005B78A7">
        <w:t xml:space="preserve">, </w:t>
      </w:r>
      <w:r w:rsidRPr="00F4423E">
        <w:rPr>
          <w:b/>
        </w:rPr>
        <w:t>усредненные суммарные показатели</w:t>
      </w:r>
      <w:r w:rsidRPr="005B78A7">
        <w:t xml:space="preserve"> </w:t>
      </w:r>
      <w:r w:rsidR="005B78A7" w:rsidRPr="005B78A7">
        <w:t>(столбец «Среднее значение по плану</w:t>
      </w:r>
      <w:r w:rsidR="005B78A7" w:rsidRPr="00357542">
        <w:rPr>
          <w:b/>
        </w:rPr>
        <w:t>»</w:t>
      </w:r>
      <w:r w:rsidR="005B78A7" w:rsidRPr="00FA42AC">
        <w:t>)</w:t>
      </w:r>
      <w:r w:rsidR="005B78A7" w:rsidRPr="00357542">
        <w:rPr>
          <w:b/>
        </w:rPr>
        <w:t xml:space="preserve"> </w:t>
      </w:r>
      <w:r w:rsidRPr="00357542">
        <w:rPr>
          <w:b/>
        </w:rPr>
        <w:t xml:space="preserve">на основе которых предлагается проводить расчет сумм </w:t>
      </w:r>
      <w:r w:rsidR="00CF25F9">
        <w:rPr>
          <w:b/>
        </w:rPr>
        <w:t>Ч</w:t>
      </w:r>
      <w:r w:rsidRPr="00357542">
        <w:rPr>
          <w:b/>
        </w:rPr>
        <w:t>ленских взносов</w:t>
      </w:r>
      <w:r w:rsidR="003D6F88">
        <w:rPr>
          <w:b/>
        </w:rPr>
        <w:t>.</w:t>
      </w:r>
    </w:p>
    <w:p w:rsidR="000966F6" w:rsidRPr="00852FD4" w:rsidRDefault="000966F6" w:rsidP="000966F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 xml:space="preserve">Пример расчета сумм Членских взносов </w:t>
      </w:r>
    </w:p>
    <w:p w:rsidR="000966F6" w:rsidRDefault="00F14468" w:rsidP="00F25984">
      <w:pPr>
        <w:ind w:firstLine="360"/>
      </w:pPr>
      <w:r w:rsidRPr="00F14468">
        <w:t xml:space="preserve">Для описания примера </w:t>
      </w:r>
      <w:r>
        <w:t xml:space="preserve">расчета сумм </w:t>
      </w:r>
      <w:r w:rsidR="000C106A">
        <w:t xml:space="preserve">Членских </w:t>
      </w:r>
      <w:r>
        <w:t xml:space="preserve">взносов использованы </w:t>
      </w:r>
      <w:r w:rsidRPr="006A0AF7">
        <w:rPr>
          <w:b/>
        </w:rPr>
        <w:t xml:space="preserve">данные </w:t>
      </w:r>
      <w:r w:rsidR="00CA157B" w:rsidRPr="006A0AF7">
        <w:rPr>
          <w:b/>
        </w:rPr>
        <w:t>т</w:t>
      </w:r>
      <w:r w:rsidR="00977885" w:rsidRPr="006A0AF7">
        <w:rPr>
          <w:b/>
        </w:rPr>
        <w:t>аблицы №9</w:t>
      </w:r>
      <w:r w:rsidR="00CA157B">
        <w:t xml:space="preserve"> Приложения №1</w:t>
      </w:r>
      <w:r w:rsidR="00977885">
        <w:t>, столбец «</w:t>
      </w:r>
      <w:r w:rsidR="00977885" w:rsidRPr="00EF02CC">
        <w:rPr>
          <w:rFonts w:ascii="Calibri" w:eastAsia="Times New Roman" w:hAnsi="Calibri" w:cs="Times New Roman"/>
          <w:bCs/>
          <w:color w:val="000000"/>
          <w:lang w:eastAsia="ru-RU"/>
        </w:rPr>
        <w:t>Среднее значение</w:t>
      </w:r>
      <w:r w:rsidR="00977885" w:rsidRPr="00EF02CC">
        <w:rPr>
          <w:rFonts w:ascii="Calibri" w:eastAsia="Times New Roman" w:hAnsi="Calibri" w:cs="Times New Roman"/>
          <w:color w:val="000000"/>
          <w:lang w:eastAsia="ru-RU"/>
        </w:rPr>
        <w:t xml:space="preserve"> (по плану)</w:t>
      </w:r>
      <w:r w:rsidR="00977885">
        <w:rPr>
          <w:rFonts w:ascii="Calibri" w:eastAsia="Times New Roman" w:hAnsi="Calibri" w:cs="Times New Roman"/>
          <w:color w:val="000000"/>
          <w:lang w:eastAsia="ru-RU"/>
        </w:rPr>
        <w:t>»</w:t>
      </w:r>
      <w:r w:rsidR="00C7490C">
        <w:rPr>
          <w:rFonts w:ascii="Calibri" w:eastAsia="Times New Roman" w:hAnsi="Calibri" w:cs="Times New Roman"/>
          <w:color w:val="000000"/>
          <w:lang w:eastAsia="ru-RU"/>
        </w:rPr>
        <w:t>, отражающий соотношение объема расходов между категориями расходов</w:t>
      </w:r>
      <w:r w:rsidR="00F43B2F">
        <w:rPr>
          <w:rFonts w:ascii="Calibri" w:eastAsia="Times New Roman" w:hAnsi="Calibri" w:cs="Times New Roman"/>
          <w:color w:val="000000"/>
          <w:lang w:eastAsia="ru-RU"/>
        </w:rPr>
        <w:t>, а также</w:t>
      </w:r>
      <w:r w:rsidR="00CA157B" w:rsidRPr="00CA157B">
        <w:t xml:space="preserve"> </w:t>
      </w:r>
      <w:r w:rsidR="00CA157B" w:rsidRPr="00F25984">
        <w:rPr>
          <w:b/>
        </w:rPr>
        <w:t xml:space="preserve">данные </w:t>
      </w:r>
      <w:r w:rsidR="00CA157B" w:rsidRPr="000F03EE">
        <w:t>Приходно-расходной</w:t>
      </w:r>
      <w:r w:rsidR="00CA157B" w:rsidRPr="00F25984">
        <w:rPr>
          <w:b/>
        </w:rPr>
        <w:t xml:space="preserve"> сметы за 2023 год</w:t>
      </w:r>
      <w:r w:rsidR="00CA157B">
        <w:t>.</w:t>
      </w:r>
    </w:p>
    <w:tbl>
      <w:tblPr>
        <w:tblW w:w="6369" w:type="dxa"/>
        <w:tblInd w:w="1144" w:type="dxa"/>
        <w:tblLayout w:type="fixed"/>
        <w:tblLook w:val="04A0" w:firstRow="1" w:lastRow="0" w:firstColumn="1" w:lastColumn="0" w:noHBand="0" w:noVBand="1"/>
      </w:tblPr>
      <w:tblGrid>
        <w:gridCol w:w="561"/>
        <w:gridCol w:w="3692"/>
        <w:gridCol w:w="2116"/>
      </w:tblGrid>
      <w:tr w:rsidR="00D935C1" w:rsidRPr="00EF02CC" w:rsidTr="00CA157B">
        <w:trPr>
          <w:trHeight w:val="450"/>
        </w:trPr>
        <w:tc>
          <w:tcPr>
            <w:tcW w:w="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35C1" w:rsidRPr="00EF02CC" w:rsidRDefault="00D935C1" w:rsidP="003B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35C1" w:rsidRPr="00D935C1" w:rsidRDefault="00D935C1" w:rsidP="003B53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5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Выборка из таблицы №9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9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(Приложение №1)</w:t>
            </w:r>
          </w:p>
        </w:tc>
      </w:tr>
      <w:tr w:rsidR="00D935C1" w:rsidRPr="00EF02CC" w:rsidTr="00CA157B">
        <w:trPr>
          <w:trHeight w:val="4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C1" w:rsidRPr="00EF02CC" w:rsidRDefault="003B5332" w:rsidP="003B1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r w:rsidR="00D935C1" w:rsidRPr="00EF02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ринцип расчета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C1" w:rsidRPr="00EF02CC" w:rsidRDefault="00D935C1" w:rsidP="00970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Среднее значение</w:t>
            </w: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плану</w:t>
            </w:r>
            <w:r w:rsidR="00970D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(%)</w:t>
            </w:r>
          </w:p>
        </w:tc>
      </w:tr>
      <w:tr w:rsidR="00D935C1" w:rsidRPr="00EF02CC" w:rsidTr="00CA157B">
        <w:trPr>
          <w:trHeight w:val="39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935C1" w:rsidRPr="00EF02CC" w:rsidTr="00CA157B">
        <w:trPr>
          <w:trHeight w:val="5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количеству владельцев участков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72,43</w:t>
            </w:r>
          </w:p>
        </w:tc>
      </w:tr>
      <w:tr w:rsidR="00D935C1" w:rsidRPr="00EF02CC" w:rsidTr="00CA157B">
        <w:trPr>
          <w:trHeight w:val="4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>По площади участка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24,25</w:t>
            </w:r>
          </w:p>
        </w:tc>
      </w:tr>
      <w:tr w:rsidR="00D935C1" w:rsidRPr="00EF02CC" w:rsidTr="00CA157B">
        <w:trPr>
          <w:trHeight w:val="4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lang w:eastAsia="ru-RU"/>
              </w:rPr>
              <w:t>Непредвиденные расходы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935C1" w:rsidRPr="00EF02CC" w:rsidRDefault="00D935C1" w:rsidP="003B1A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F02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3,32</w:t>
            </w:r>
          </w:p>
        </w:tc>
      </w:tr>
    </w:tbl>
    <w:p w:rsidR="00C7490C" w:rsidRDefault="00C7490C" w:rsidP="008252AF"/>
    <w:p w:rsidR="00DF3687" w:rsidRDefault="00C7490C" w:rsidP="00B83272">
      <w:pPr>
        <w:ind w:firstLine="708"/>
      </w:pPr>
      <w:r>
        <w:t xml:space="preserve">Учитывая то, что </w:t>
      </w:r>
      <w:r w:rsidRPr="00B83272">
        <w:rPr>
          <w:b/>
        </w:rPr>
        <w:t>анализ проведен на ограниченном временном периоде</w:t>
      </w:r>
      <w:r>
        <w:t xml:space="preserve"> и соответственно не является абсолютно достоверным, </w:t>
      </w:r>
      <w:r w:rsidR="00C42E55">
        <w:t>в будущих временных периодах характер и соотношение расходов могут меняться, целесообразно средни</w:t>
      </w:r>
      <w:r w:rsidR="00DF3687">
        <w:t>е</w:t>
      </w:r>
      <w:r w:rsidR="00C42E55">
        <w:t xml:space="preserve"> значени</w:t>
      </w:r>
      <w:r w:rsidR="00DF3687">
        <w:t>я представить в виде диапазонов значений, например, значение 72,3 представить в виде 65-7</w:t>
      </w:r>
      <w:r w:rsidR="00B83272">
        <w:t>5</w:t>
      </w:r>
      <w:r w:rsidR="00DF3687">
        <w:t>, а значение 24,25 в виде 22-27.</w:t>
      </w:r>
    </w:p>
    <w:p w:rsidR="00C42E55" w:rsidRPr="00F4291D" w:rsidRDefault="00C42E55" w:rsidP="008252AF">
      <w:pPr>
        <w:rPr>
          <w:rFonts w:ascii="Calibri" w:eastAsia="Times New Roman" w:hAnsi="Calibri" w:cs="Times New Roman"/>
          <w:color w:val="000000"/>
          <w:lang w:eastAsia="ru-RU"/>
        </w:rPr>
      </w:pPr>
      <w:r>
        <w:t xml:space="preserve"> </w:t>
      </w:r>
      <w:r w:rsidR="006B1B91">
        <w:tab/>
      </w:r>
      <w:r w:rsidR="00DF3687">
        <w:t>Д</w:t>
      </w:r>
      <w:r>
        <w:t xml:space="preserve">ля упрощения (оптимизации) </w:t>
      </w:r>
      <w:r w:rsidR="00DF3687">
        <w:t xml:space="preserve">итогового </w:t>
      </w:r>
      <w:r>
        <w:t>порядка расчета взносов</w:t>
      </w:r>
      <w:r w:rsidR="00DF3687">
        <w:t xml:space="preserve">, </w:t>
      </w:r>
      <w:r w:rsidR="009D025F">
        <w:t xml:space="preserve">предлагается статью Сметы </w:t>
      </w:r>
      <w:r w:rsidR="00DF3687">
        <w:t>«</w:t>
      </w:r>
      <w:r w:rsidR="00DF3687" w:rsidRPr="00DF3687">
        <w:t>Непредвиденные расходы</w:t>
      </w:r>
      <w:r w:rsidR="00DF3687">
        <w:t>»</w:t>
      </w:r>
      <w:r w:rsidR="00DF3687" w:rsidRPr="00DF3687">
        <w:t xml:space="preserve"> </w:t>
      </w:r>
      <w:r w:rsidR="009D025F">
        <w:t xml:space="preserve">объединить с одной из категорий расходов </w:t>
      </w:r>
      <w:r w:rsidR="009D025F" w:rsidRPr="009B32FE">
        <w:t>(по решению Общего собрания СНТ).</w:t>
      </w:r>
      <w:r w:rsidR="009D025F">
        <w:t xml:space="preserve"> </w:t>
      </w:r>
      <w:r w:rsidR="009D025F" w:rsidRPr="009D025F">
        <w:rPr>
          <w:b/>
        </w:rPr>
        <w:t>В настоящем расчете «Непредвиденные расходы»</w:t>
      </w:r>
      <w:r w:rsidR="00F43B2F">
        <w:rPr>
          <w:b/>
        </w:rPr>
        <w:t xml:space="preserve"> </w:t>
      </w:r>
      <w:r w:rsidR="009D025F" w:rsidRPr="009D025F">
        <w:rPr>
          <w:b/>
        </w:rPr>
        <w:t>включены в категорию «</w:t>
      </w:r>
      <w:r w:rsidR="009D025F" w:rsidRPr="00EF02CC">
        <w:rPr>
          <w:rFonts w:ascii="Calibri" w:eastAsia="Times New Roman" w:hAnsi="Calibri" w:cs="Times New Roman"/>
          <w:b/>
          <w:color w:val="000000"/>
          <w:lang w:eastAsia="ru-RU"/>
        </w:rPr>
        <w:t>По площади участка</w:t>
      </w:r>
      <w:r w:rsidR="009D025F" w:rsidRPr="009D025F">
        <w:rPr>
          <w:rFonts w:ascii="Calibri" w:eastAsia="Times New Roman" w:hAnsi="Calibri" w:cs="Times New Roman"/>
          <w:b/>
          <w:color w:val="000000"/>
          <w:lang w:eastAsia="ru-RU"/>
        </w:rPr>
        <w:t>»</w:t>
      </w:r>
      <w:r w:rsidR="00F4291D">
        <w:rPr>
          <w:rFonts w:ascii="Calibri" w:eastAsia="Times New Roman" w:hAnsi="Calibri" w:cs="Times New Roman"/>
          <w:b/>
          <w:color w:val="000000"/>
          <w:lang w:eastAsia="ru-RU"/>
        </w:rPr>
        <w:t>,</w:t>
      </w:r>
      <w:r w:rsidR="009D025F" w:rsidRPr="009D025F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 w:rsidR="009D025F" w:rsidRPr="00F4291D">
        <w:rPr>
          <w:rFonts w:ascii="Calibri" w:eastAsia="Times New Roman" w:hAnsi="Calibri" w:cs="Times New Roman"/>
          <w:color w:val="000000"/>
          <w:lang w:eastAsia="ru-RU"/>
        </w:rPr>
        <w:t xml:space="preserve">а значения расходов </w:t>
      </w:r>
      <w:r w:rsidR="00F4291D" w:rsidRPr="00F4291D">
        <w:rPr>
          <w:rFonts w:ascii="Calibri" w:eastAsia="Times New Roman" w:hAnsi="Calibri" w:cs="Times New Roman"/>
          <w:color w:val="000000"/>
          <w:lang w:eastAsia="ru-RU"/>
        </w:rPr>
        <w:t>округлены до целых значений</w:t>
      </w:r>
      <w:r w:rsidR="009D025F" w:rsidRPr="00F4291D"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</w:p>
    <w:p w:rsidR="009D025F" w:rsidRDefault="009D025F" w:rsidP="008252AF">
      <w:r>
        <w:rPr>
          <w:rFonts w:ascii="Calibri" w:eastAsia="Times New Roman" w:hAnsi="Calibri" w:cs="Times New Roman"/>
          <w:color w:val="000000"/>
          <w:lang w:eastAsia="ru-RU"/>
        </w:rPr>
        <w:t>Для расчета используются данные нижеследующей таблицы</w:t>
      </w:r>
      <w:r w:rsidR="003D5EE3">
        <w:rPr>
          <w:rFonts w:ascii="Calibri" w:eastAsia="Times New Roman" w:hAnsi="Calibri" w:cs="Times New Roman"/>
          <w:color w:val="000000"/>
          <w:lang w:eastAsia="ru-RU"/>
        </w:rPr>
        <w:t>:</w:t>
      </w:r>
    </w:p>
    <w:tbl>
      <w:tblPr>
        <w:tblW w:w="6381" w:type="dxa"/>
        <w:tblInd w:w="1154" w:type="dxa"/>
        <w:tblLook w:val="04A0" w:firstRow="1" w:lastRow="0" w:firstColumn="1" w:lastColumn="0" w:noHBand="0" w:noVBand="1"/>
      </w:tblPr>
      <w:tblGrid>
        <w:gridCol w:w="719"/>
        <w:gridCol w:w="3666"/>
        <w:gridCol w:w="1996"/>
      </w:tblGrid>
      <w:tr w:rsidR="00B719DE" w:rsidRPr="00B719DE" w:rsidTr="00C14609">
        <w:trPr>
          <w:trHeight w:val="330"/>
        </w:trPr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9DE" w:rsidRPr="00B719DE" w:rsidRDefault="00C42E55" w:rsidP="00B7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t>-</w:t>
            </w:r>
            <w:r w:rsidR="00C7490C">
              <w:t xml:space="preserve">  </w:t>
            </w:r>
            <w:r w:rsidR="00B719DE" w:rsidRPr="00B719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19DE" w:rsidRPr="00B719DE" w:rsidTr="00C14609">
        <w:trPr>
          <w:trHeight w:val="88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Принцип расчета 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Распределения финансовых расходов, </w:t>
            </w:r>
            <w:r w:rsidRPr="00B719D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исходя из принципа расчета </w:t>
            </w:r>
            <w:r w:rsidRPr="00B719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(%)</w:t>
            </w:r>
          </w:p>
        </w:tc>
      </w:tr>
      <w:tr w:rsidR="00B719DE" w:rsidRPr="00B719DE" w:rsidTr="00C14609">
        <w:trPr>
          <w:trHeight w:val="269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B719DE" w:rsidRPr="00B719DE" w:rsidTr="00C14609">
        <w:trPr>
          <w:trHeight w:val="41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color w:val="000000"/>
                <w:lang w:eastAsia="ru-RU"/>
              </w:rPr>
              <w:t>По количеству владельцев участков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719DE" w:rsidRPr="00B719DE" w:rsidRDefault="00F4291D" w:rsidP="00F429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70</w:t>
            </w:r>
          </w:p>
        </w:tc>
      </w:tr>
      <w:tr w:rsidR="00B719DE" w:rsidRPr="00B719DE" w:rsidTr="00C14609">
        <w:trPr>
          <w:trHeight w:val="40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9DE" w:rsidRPr="00B719DE" w:rsidRDefault="00B719DE" w:rsidP="00B71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color w:val="000000"/>
                <w:lang w:eastAsia="ru-RU"/>
              </w:rPr>
              <w:t>По площади участка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B719DE" w:rsidRPr="00B719DE" w:rsidRDefault="00B719DE" w:rsidP="00F429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19D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="00F4291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</w:tbl>
    <w:p w:rsidR="0025344F" w:rsidRDefault="0025344F" w:rsidP="008252AF"/>
    <w:p w:rsidR="000C106A" w:rsidRPr="0052573F" w:rsidRDefault="0025344F" w:rsidP="008252AF">
      <w:pPr>
        <w:rPr>
          <w:b/>
        </w:rPr>
      </w:pPr>
      <w:r w:rsidRPr="0052573F">
        <w:rPr>
          <w:b/>
        </w:rPr>
        <w:t xml:space="preserve">Описание общего порядка </w:t>
      </w:r>
      <w:r w:rsidR="00BF4562">
        <w:rPr>
          <w:b/>
        </w:rPr>
        <w:t xml:space="preserve">и пример </w:t>
      </w:r>
      <w:r w:rsidRPr="0052573F">
        <w:rPr>
          <w:b/>
        </w:rPr>
        <w:t>расчета:</w:t>
      </w:r>
    </w:p>
    <w:p w:rsidR="00071762" w:rsidRDefault="00071762" w:rsidP="00202621">
      <w:pPr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t>Сумма Членского взноса формируется из двух составляющих</w:t>
      </w:r>
      <w:r w:rsidRPr="00285FE4">
        <w:t xml:space="preserve">: </w:t>
      </w:r>
      <w:r w:rsidRPr="0068622A">
        <w:rPr>
          <w:b/>
        </w:rPr>
        <w:t>«базовой»,</w:t>
      </w:r>
      <w:r>
        <w:t xml:space="preserve"> рассчитываемой по </w:t>
      </w:r>
      <w:r w:rsidRPr="00B719DE">
        <w:rPr>
          <w:rFonts w:ascii="Calibri" w:eastAsia="Times New Roman" w:hAnsi="Calibri" w:cs="Times New Roman"/>
          <w:color w:val="000000"/>
          <w:lang w:eastAsia="ru-RU"/>
        </w:rPr>
        <w:t>количеству владельцев участков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68622A">
        <w:rPr>
          <w:rFonts w:ascii="Calibri" w:eastAsia="Times New Roman" w:hAnsi="Calibri" w:cs="Times New Roman"/>
          <w:b/>
          <w:color w:val="000000"/>
          <w:lang w:eastAsia="ru-RU"/>
        </w:rPr>
        <w:t>и «дополнительной»,</w:t>
      </w:r>
      <w:r w:rsidRPr="00285FE4">
        <w:rPr>
          <w:rFonts w:ascii="Calibri" w:eastAsia="Times New Roman" w:hAnsi="Calibri" w:cs="Times New Roman"/>
          <w:color w:val="000000"/>
          <w:lang w:eastAsia="ru-RU"/>
        </w:rPr>
        <w:t xml:space="preserve"> рассчитываемой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по площади каждого участка</w:t>
      </w:r>
      <w:r w:rsidR="005606E2">
        <w:rPr>
          <w:rFonts w:ascii="Calibri" w:eastAsia="Times New Roman" w:hAnsi="Calibri" w:cs="Times New Roman"/>
          <w:color w:val="000000"/>
          <w:lang w:eastAsia="ru-RU"/>
        </w:rPr>
        <w:t xml:space="preserve"> путем сложения этих сумм.</w:t>
      </w:r>
    </w:p>
    <w:tbl>
      <w:tblPr>
        <w:tblW w:w="8761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536"/>
        <w:gridCol w:w="2561"/>
        <w:gridCol w:w="1199"/>
        <w:gridCol w:w="1570"/>
        <w:gridCol w:w="1427"/>
        <w:gridCol w:w="523"/>
        <w:gridCol w:w="294"/>
        <w:gridCol w:w="651"/>
      </w:tblGrid>
      <w:tr w:rsidR="005A672E" w:rsidRPr="005A672E" w:rsidTr="001245AA">
        <w:trPr>
          <w:trHeight w:val="795"/>
        </w:trPr>
        <w:tc>
          <w:tcPr>
            <w:tcW w:w="8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Пример расчета сумм Членских взносов на 2023г.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(ди</w:t>
            </w:r>
            <w:r w:rsidR="00314F4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5A672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ференцированный учет расходов по 2-м категориям)</w:t>
            </w:r>
          </w:p>
        </w:tc>
      </w:tr>
      <w:tr w:rsidR="005A672E" w:rsidRPr="005A672E" w:rsidTr="001245AA">
        <w:trPr>
          <w:trHeight w:val="567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7775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владельцев участков </w:t>
            </w:r>
            <w:r w:rsidR="00777540" w:rsidRPr="0077754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(условно)</w:t>
            </w:r>
            <w:r w:rsidR="00777540" w:rsidRPr="007775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(чел.):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72E" w:rsidRPr="005A672E" w:rsidTr="001245AA">
        <w:trPr>
          <w:trHeight w:val="567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055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площадь земельных участков в собственности членов СНТ </w:t>
            </w:r>
            <w:r w:rsidRPr="005A67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("соток")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72E" w:rsidRPr="005A672E" w:rsidTr="001245AA">
        <w:trPr>
          <w:trHeight w:val="567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планируемых расходов на 2023г.</w:t>
            </w:r>
            <w:r w:rsidRPr="005A67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(руб.):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314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1154256</w:t>
            </w:r>
            <w:r w:rsidR="00314F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672E" w:rsidRPr="005A672E" w:rsidTr="001245AA">
        <w:trPr>
          <w:trHeight w:val="567"/>
        </w:trPr>
        <w:tc>
          <w:tcPr>
            <w:tcW w:w="58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6535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Фактический размер ежегодного членского взноса в расчете на 1 "сотку" по </w:t>
            </w:r>
            <w:r w:rsidR="006535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мете 2023</w:t>
            </w:r>
            <w:r w:rsidR="006535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(руб.):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A672E" w:rsidRPr="005A672E" w:rsidRDefault="005A672E" w:rsidP="00314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  <w:r w:rsidR="00314F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42FD" w:rsidRPr="005A672E" w:rsidTr="001245AA">
        <w:trPr>
          <w:trHeight w:val="615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2FD" w:rsidRPr="005A672E" w:rsidRDefault="007D42FD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42FD" w:rsidRPr="005A672E" w:rsidRDefault="007D42FD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2FD" w:rsidRPr="005A672E" w:rsidRDefault="007D42FD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2FD" w:rsidRPr="005A672E" w:rsidRDefault="007D42FD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672E" w:rsidRPr="005A672E" w:rsidTr="001245AA">
        <w:trPr>
          <w:trHeight w:val="6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показателей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Фактическая сумма членского взноса</w:t>
            </w:r>
            <w:r w:rsidRPr="005A672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смете 2023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(руб.):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Суммы Членских взносов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год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(расчет по 2-м категориям расходов) </w:t>
            </w:r>
          </w:p>
        </w:tc>
      </w:tr>
      <w:tr w:rsidR="005A672E" w:rsidRPr="005A672E" w:rsidTr="00B76B26">
        <w:trPr>
          <w:trHeight w:val="48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70%/30%</w:t>
            </w:r>
          </w:p>
        </w:tc>
      </w:tr>
      <w:tr w:rsidR="005A672E" w:rsidRPr="005A672E" w:rsidTr="00B76B26">
        <w:trPr>
          <w:trHeight w:val="987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9D31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Увеличение/уменьшение</w:t>
            </w: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суммы взноса (руб.)</w:t>
            </w:r>
          </w:p>
        </w:tc>
      </w:tr>
      <w:tr w:rsidR="005A672E" w:rsidRPr="005A672E" w:rsidTr="00B76B26">
        <w:trPr>
          <w:trHeight w:val="92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Сумма расходов по категории «По количеству владельцев участков» </w:t>
            </w:r>
            <w:r w:rsidR="00B44D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B44D86" w:rsidRPr="00B44D8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70%</w:t>
            </w:r>
            <w:r w:rsidR="00B44D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от общей суммы расходов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807979,20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672E" w:rsidRPr="005A672E" w:rsidTr="00D23A39">
        <w:trPr>
          <w:trHeight w:val="83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Сумма расходов по категории «По площади участка» </w:t>
            </w:r>
            <w:r w:rsidR="00C01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01920" w:rsidRPr="00E94E5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30%</w:t>
            </w:r>
            <w:r w:rsidR="00C01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01920" w:rsidRPr="00C01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 общей суммы расходов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346276,80</w:t>
            </w:r>
          </w:p>
        </w:tc>
        <w:tc>
          <w:tcPr>
            <w:tcW w:w="14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672E" w:rsidRPr="005A672E" w:rsidTr="00017BFF">
        <w:trPr>
          <w:trHeight w:val="83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Величина «базовой» составляющей взносов в расчете на одного владельца участка </w:t>
            </w:r>
            <w:r w:rsidR="00EB3A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EB3A01" w:rsidRPr="00EB3A0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расходы по п.1/75</w:t>
            </w:r>
            <w:r w:rsidR="00EB3A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10773,06</w:t>
            </w:r>
          </w:p>
        </w:tc>
        <w:tc>
          <w:tcPr>
            <w:tcW w:w="14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672E" w:rsidRPr="005A672E" w:rsidTr="00017BFF">
        <w:trPr>
          <w:trHeight w:val="83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72E" w:rsidRPr="005A672E" w:rsidRDefault="005A672E" w:rsidP="00046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Величина «дополнительной» составляющей в расчете на 1 «сотку» площади</w:t>
            </w:r>
            <w:r w:rsidR="00046E9F">
              <w:t xml:space="preserve"> - </w:t>
            </w:r>
            <w:r w:rsidR="00046E9F" w:rsidRPr="00046E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  <w:t>расходы по п.2/892</w:t>
            </w:r>
            <w:r w:rsidR="00046E9F" w:rsidRPr="00046E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388,20</w:t>
            </w:r>
          </w:p>
        </w:tc>
        <w:tc>
          <w:tcPr>
            <w:tcW w:w="14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672E" w:rsidRPr="005A672E" w:rsidTr="001245AA">
        <w:trPr>
          <w:trHeight w:val="43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EA3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сумма Членского взноса 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для участка в</w:t>
            </w:r>
            <w:r w:rsidR="00EA33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год, в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зависимости от площади участка в «сотках»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4«сотки»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12325,87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7125,87</w:t>
            </w:r>
          </w:p>
        </w:tc>
      </w:tr>
      <w:tr w:rsidR="005A672E" w:rsidRPr="005A672E" w:rsidTr="001245AA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«соток»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13878,68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3478,68</w:t>
            </w:r>
          </w:p>
        </w:tc>
      </w:tr>
      <w:tr w:rsidR="005A672E" w:rsidRPr="005A672E" w:rsidTr="001245AA">
        <w:trPr>
          <w:trHeight w:val="39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«соток»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15431,49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-168,51</w:t>
            </w:r>
          </w:p>
        </w:tc>
      </w:tr>
      <w:tr w:rsidR="005A672E" w:rsidRPr="005A672E" w:rsidTr="001245AA">
        <w:trPr>
          <w:trHeight w:val="39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«соток»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16984,30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-3815,70</w:t>
            </w:r>
          </w:p>
        </w:tc>
      </w:tr>
      <w:tr w:rsidR="005A672E" w:rsidRPr="005A672E" w:rsidTr="001245AA">
        <w:trPr>
          <w:trHeight w:val="4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«соток»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18537,11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-7462,89</w:t>
            </w:r>
          </w:p>
        </w:tc>
      </w:tr>
      <w:tr w:rsidR="005A672E" w:rsidRPr="005A672E" w:rsidTr="001245AA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24«сотки»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20089,92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-11110,08</w:t>
            </w:r>
          </w:p>
        </w:tc>
      </w:tr>
      <w:tr w:rsidR="005A672E" w:rsidRPr="005A672E" w:rsidTr="001245AA">
        <w:trPr>
          <w:trHeight w:val="480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A672E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  <w:t>Итого  по</w:t>
            </w:r>
            <w:proofErr w:type="gramEnd"/>
            <w:r w:rsidRPr="005A672E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  <w:t xml:space="preserve"> п.1+п.2: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ru-RU"/>
              </w:rPr>
              <w:t>1154256,00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72E" w:rsidRPr="005A672E" w:rsidRDefault="005A672E" w:rsidP="005A672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A672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606E2" w:rsidRDefault="005606E2" w:rsidP="008252AF">
      <w:r>
        <w:t xml:space="preserve"> </w:t>
      </w:r>
    </w:p>
    <w:p w:rsidR="00AD680B" w:rsidRPr="005606E2" w:rsidRDefault="005606E2" w:rsidP="00724EBE">
      <w:pPr>
        <w:ind w:firstLine="708"/>
        <w:rPr>
          <w:b/>
          <w:sz w:val="24"/>
          <w:szCs w:val="24"/>
        </w:rPr>
      </w:pPr>
      <w:r w:rsidRPr="005606E2">
        <w:rPr>
          <w:b/>
          <w:sz w:val="24"/>
          <w:szCs w:val="24"/>
        </w:rPr>
        <w:t>Пример формирования суммы Членских взноса для участка площадью 8 «соток»:</w:t>
      </w:r>
    </w:p>
    <w:p w:rsidR="005606E2" w:rsidRPr="000966F6" w:rsidRDefault="002B7ABC" w:rsidP="008252AF">
      <w:r>
        <w:t>«</w:t>
      </w:r>
      <w:r w:rsidR="005606E2">
        <w:t>Базовая</w:t>
      </w:r>
      <w:r>
        <w:t>»</w:t>
      </w:r>
      <w:r w:rsidR="005606E2">
        <w:t xml:space="preserve"> составляющая взноса (</w:t>
      </w:r>
      <w:r w:rsidR="005606E2" w:rsidRPr="005606E2">
        <w:t>10773,06</w:t>
      </w:r>
      <w:r w:rsidR="005606E2">
        <w:t>руб.)</w:t>
      </w:r>
      <w:r w:rsidR="005606E2" w:rsidRPr="005606E2">
        <w:t xml:space="preserve"> </w:t>
      </w:r>
      <w:r w:rsidR="005606E2">
        <w:t xml:space="preserve">+ </w:t>
      </w:r>
      <w:r>
        <w:t>«</w:t>
      </w:r>
      <w:r w:rsidR="005606E2">
        <w:t>дополнительная</w:t>
      </w:r>
      <w:r>
        <w:t>»</w:t>
      </w:r>
      <w:r w:rsidR="005606E2">
        <w:t xml:space="preserve"> составляющая за 8 соток (</w:t>
      </w:r>
      <w:r w:rsidR="005606E2" w:rsidRPr="005606E2">
        <w:t xml:space="preserve">388,20 </w:t>
      </w:r>
      <w:proofErr w:type="spellStart"/>
      <w:r w:rsidR="005606E2">
        <w:t>руб</w:t>
      </w:r>
      <w:proofErr w:type="spellEnd"/>
      <w:r w:rsidR="005606E2">
        <w:t>..</w:t>
      </w:r>
      <w:r w:rsidR="005606E2" w:rsidRPr="005606E2">
        <w:t>х 8)</w:t>
      </w:r>
      <w:r w:rsidR="005606E2">
        <w:t xml:space="preserve"> = 13878,68руб.</w:t>
      </w:r>
    </w:p>
    <w:p w:rsidR="00EF0524" w:rsidRPr="00C47A43" w:rsidRDefault="00EF0524" w:rsidP="00EF052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47A43">
        <w:rPr>
          <w:b/>
          <w:sz w:val="28"/>
          <w:szCs w:val="28"/>
        </w:rPr>
        <w:t>Н</w:t>
      </w:r>
      <w:r w:rsidR="00C47A43" w:rsidRPr="00C47A43">
        <w:rPr>
          <w:b/>
          <w:sz w:val="28"/>
          <w:szCs w:val="28"/>
        </w:rPr>
        <w:t>аглядное отображение существующего порядка расчета взносов</w:t>
      </w:r>
    </w:p>
    <w:p w:rsidR="003B2593" w:rsidRDefault="007D3757" w:rsidP="000B1A2B">
      <w:pPr>
        <w:ind w:firstLine="708"/>
      </w:pPr>
      <w:r w:rsidRPr="003031B5">
        <w:t xml:space="preserve">Нижеследующая таблица является </w:t>
      </w:r>
      <w:r w:rsidRPr="00E1585A">
        <w:t>выборкой из</w:t>
      </w:r>
      <w:r w:rsidRPr="003031B5">
        <w:rPr>
          <w:b/>
        </w:rPr>
        <w:t xml:space="preserve"> Таблицы №11</w:t>
      </w:r>
      <w:r w:rsidRPr="003031B5">
        <w:t xml:space="preserve"> (</w:t>
      </w:r>
      <w:r w:rsidRPr="003031B5">
        <w:rPr>
          <w:b/>
        </w:rPr>
        <w:t>Приложение №3</w:t>
      </w:r>
      <w:r w:rsidRPr="003031B5">
        <w:t>).</w:t>
      </w:r>
    </w:p>
    <w:p w:rsidR="00EF0524" w:rsidRPr="00846169" w:rsidRDefault="007D3757" w:rsidP="000B1A2B">
      <w:pPr>
        <w:ind w:firstLine="708"/>
      </w:pPr>
      <w:r w:rsidRPr="003031B5">
        <w:t>В ней</w:t>
      </w:r>
      <w:r>
        <w:t xml:space="preserve"> представлена информация</w:t>
      </w:r>
      <w:r w:rsidR="00380A0E" w:rsidRPr="00C97477">
        <w:t>, показывающая</w:t>
      </w:r>
      <w:r w:rsidR="00380A0E" w:rsidRPr="00C97477">
        <w:rPr>
          <w:b/>
        </w:rPr>
        <w:t xml:space="preserve"> какую сумму за 4 года переплатили</w:t>
      </w:r>
      <w:r w:rsidR="00380A0E">
        <w:t xml:space="preserve"> владельцы участков площадью </w:t>
      </w:r>
      <w:r w:rsidR="00380A0E" w:rsidRPr="003B2593">
        <w:rPr>
          <w:b/>
        </w:rPr>
        <w:t>12, 16 и20 «соток»</w:t>
      </w:r>
      <w:r w:rsidR="00380A0E">
        <w:t xml:space="preserve"> по причине того, что </w:t>
      </w:r>
      <w:r w:rsidR="00DF758D" w:rsidRPr="00DF758D">
        <w:t>в СНТ «Парус-1»</w:t>
      </w:r>
      <w:r w:rsidR="00DF758D">
        <w:t>, расчет</w:t>
      </w:r>
      <w:r w:rsidR="00380A0E">
        <w:t xml:space="preserve"> сумм Членских взносов </w:t>
      </w:r>
      <w:r w:rsidR="00DF758D">
        <w:t xml:space="preserve">осуществлялся с учетом исключительно площади участка (т. е. не </w:t>
      </w:r>
      <w:r w:rsidR="00606CE7">
        <w:t>ведется</w:t>
      </w:r>
      <w:r w:rsidR="00DF758D">
        <w:t xml:space="preserve"> дифференцированн</w:t>
      </w:r>
      <w:r w:rsidR="00606CE7">
        <w:t>ый</w:t>
      </w:r>
      <w:r w:rsidR="00DF758D">
        <w:t xml:space="preserve"> учет)</w:t>
      </w:r>
      <w:r w:rsidR="00380A0E">
        <w:t xml:space="preserve"> </w:t>
      </w:r>
      <w:r w:rsidR="00DF758D">
        <w:t xml:space="preserve">и соответственно </w:t>
      </w:r>
      <w:r w:rsidR="00DF758D" w:rsidRPr="00355DF2">
        <w:rPr>
          <w:b/>
        </w:rPr>
        <w:t>какую сумму не доплатили</w:t>
      </w:r>
      <w:r w:rsidR="00DF758D">
        <w:t xml:space="preserve"> владельцы участков площадью </w:t>
      </w:r>
      <w:r w:rsidR="00DF758D" w:rsidRPr="0091196F">
        <w:rPr>
          <w:b/>
        </w:rPr>
        <w:t>8 «соток»</w:t>
      </w:r>
      <w:r w:rsidR="00846169">
        <w:rPr>
          <w:b/>
        </w:rPr>
        <w:t xml:space="preserve"> </w:t>
      </w:r>
      <w:r w:rsidR="00846169" w:rsidRPr="00846169">
        <w:t>за этот же временной период.</w:t>
      </w:r>
    </w:p>
    <w:tbl>
      <w:tblPr>
        <w:tblW w:w="6521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2410"/>
      </w:tblGrid>
      <w:tr w:rsidR="007D3757" w:rsidRPr="00067C2A" w:rsidTr="00380A0E">
        <w:trPr>
          <w:trHeight w:val="454"/>
        </w:trPr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3757" w:rsidRPr="00067C2A" w:rsidRDefault="007D3757" w:rsidP="00661B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C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Выборка и</w:t>
            </w:r>
            <w:r w:rsidR="004119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bookmarkStart w:id="0" w:name="_GoBack"/>
            <w:bookmarkEnd w:id="0"/>
            <w:r w:rsidRPr="00067C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Таблицы №11</w:t>
            </w:r>
          </w:p>
        </w:tc>
      </w:tr>
      <w:tr w:rsidR="007D3757" w:rsidRPr="006D578F" w:rsidTr="00380A0E">
        <w:trPr>
          <w:trHeight w:val="995"/>
        </w:trPr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3757" w:rsidRPr="006D578F" w:rsidRDefault="007D3757" w:rsidP="00661B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показателей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D3757" w:rsidRPr="006D578F" w:rsidRDefault="007D3757" w:rsidP="00661B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Суммарное увеличение/уменьшение </w:t>
            </w:r>
            <w:r w:rsidRPr="006D5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суммы взноса за </w:t>
            </w:r>
            <w:r w:rsidRPr="00A503C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2019, 2020,2021, 2023г.г.</w:t>
            </w:r>
            <w:r w:rsidRPr="006D5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</w:tr>
      <w:tr w:rsidR="00380A0E" w:rsidRPr="006D578F" w:rsidTr="00380A0E">
        <w:trPr>
          <w:trHeight w:val="461"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80A0E" w:rsidRPr="006D578F" w:rsidRDefault="00380A0E" w:rsidP="00380A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Итоговая сумма Членского взноса</w:t>
            </w:r>
            <w:r w:rsidRPr="006D5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год, в зависимости от площади участка в «сотках»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8«соток»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11066,59</w:t>
            </w:r>
          </w:p>
        </w:tc>
      </w:tr>
      <w:tr w:rsidR="00380A0E" w:rsidRPr="006D578F" w:rsidTr="00380A0E">
        <w:trPr>
          <w:trHeight w:val="510"/>
        </w:trPr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80A0E" w:rsidRPr="006D578F" w:rsidRDefault="00380A0E" w:rsidP="00380A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0A0E" w:rsidRPr="006D578F" w:rsidRDefault="00380A0E" w:rsidP="00380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12«соток»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80A0E" w:rsidRPr="006D578F" w:rsidRDefault="00380A0E" w:rsidP="00380A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-425,41</w:t>
            </w:r>
          </w:p>
        </w:tc>
      </w:tr>
      <w:tr w:rsidR="00380A0E" w:rsidRPr="006D578F" w:rsidTr="00380A0E">
        <w:trPr>
          <w:trHeight w:val="401"/>
        </w:trPr>
        <w:tc>
          <w:tcPr>
            <w:tcW w:w="2835" w:type="dxa"/>
            <w:vMerge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16«соток»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-11917,42</w:t>
            </w:r>
          </w:p>
        </w:tc>
      </w:tr>
      <w:tr w:rsidR="00380A0E" w:rsidRPr="006D578F" w:rsidTr="00380A0E">
        <w:trPr>
          <w:trHeight w:val="463"/>
        </w:trPr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20«соток»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80A0E" w:rsidRPr="006D578F" w:rsidRDefault="00380A0E" w:rsidP="00661B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5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-23409,42</w:t>
            </w:r>
          </w:p>
        </w:tc>
      </w:tr>
    </w:tbl>
    <w:p w:rsidR="00237242" w:rsidRDefault="00237242" w:rsidP="00EF0524"/>
    <w:p w:rsidR="007D3757" w:rsidRDefault="00237242" w:rsidP="008B567F">
      <w:pPr>
        <w:ind w:firstLine="708"/>
      </w:pPr>
      <w:r>
        <w:t>Данн</w:t>
      </w:r>
      <w:r w:rsidR="00102F51">
        <w:t xml:space="preserve">ая </w:t>
      </w:r>
      <w:r>
        <w:t>информация приведена здесь</w:t>
      </w:r>
      <w:r w:rsidR="00102F51">
        <w:t>,</w:t>
      </w:r>
      <w:r>
        <w:t xml:space="preserve"> </w:t>
      </w:r>
      <w:r w:rsidR="00102F51">
        <w:t xml:space="preserve">исключительно </w:t>
      </w:r>
      <w:r>
        <w:t>для того, чтобы</w:t>
      </w:r>
      <w:r w:rsidR="00102F51">
        <w:t xml:space="preserve"> </w:t>
      </w:r>
      <w:r w:rsidR="00102F51" w:rsidRPr="00B138C1">
        <w:rPr>
          <w:b/>
        </w:rPr>
        <w:t>наглядно показать необходимость изменения</w:t>
      </w:r>
      <w:r w:rsidR="00102F51">
        <w:t xml:space="preserve"> принципа расчета сумм Членских взносов.</w:t>
      </w:r>
      <w:r>
        <w:t xml:space="preserve"> </w:t>
      </w:r>
    </w:p>
    <w:p w:rsidR="007D3757" w:rsidRPr="00EF0524" w:rsidRDefault="00F30480" w:rsidP="00F30480">
      <w:pPr>
        <w:ind w:firstLine="708"/>
      </w:pPr>
      <w:r>
        <w:t>Необходимо у</w:t>
      </w:r>
      <w:r w:rsidR="009A2376" w:rsidRPr="009A2376">
        <w:t>читыва</w:t>
      </w:r>
      <w:r>
        <w:t>ть</w:t>
      </w:r>
      <w:r w:rsidR="009A2376" w:rsidRPr="009A2376">
        <w:t xml:space="preserve"> то, что расходы нашего СНТ неизменно</w:t>
      </w:r>
      <w:r w:rsidR="008D59A5">
        <w:t xml:space="preserve"> </w:t>
      </w:r>
      <w:r w:rsidR="009A2376" w:rsidRPr="009A2376">
        <w:t xml:space="preserve">будут расти, соответственно </w:t>
      </w:r>
      <w:r w:rsidR="009A2376" w:rsidRPr="00F30480">
        <w:rPr>
          <w:b/>
        </w:rPr>
        <w:t>будут несправедливо увеличиваться и суммы взносов</w:t>
      </w:r>
      <w:r w:rsidR="008D59A5">
        <w:rPr>
          <w:b/>
        </w:rPr>
        <w:t xml:space="preserve"> </w:t>
      </w:r>
      <w:r w:rsidR="008D59A5" w:rsidRPr="008D59A5">
        <w:t>и</w:t>
      </w:r>
      <w:r w:rsidR="009A2376">
        <w:t xml:space="preserve"> если не изменить принцип их расчета</w:t>
      </w:r>
      <w:r w:rsidR="0059032D">
        <w:t xml:space="preserve">, </w:t>
      </w:r>
      <w:r w:rsidR="00D71235">
        <w:t>появятся большие трудности с</w:t>
      </w:r>
      <w:r w:rsidR="008D59A5">
        <w:t xml:space="preserve"> ведени</w:t>
      </w:r>
      <w:r w:rsidR="00D71235">
        <w:t>ем</w:t>
      </w:r>
      <w:r w:rsidR="008D59A5">
        <w:t xml:space="preserve"> хозяйственной деятельност</w:t>
      </w:r>
      <w:r w:rsidR="00D71235">
        <w:t>и в СНТ</w:t>
      </w:r>
      <w:r w:rsidR="009A2376">
        <w:t>.</w:t>
      </w:r>
    </w:p>
    <w:p w:rsidR="003D6F88" w:rsidRPr="00852FD4" w:rsidRDefault="00C1051C" w:rsidP="003D6F8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52FD4">
        <w:rPr>
          <w:b/>
          <w:sz w:val="28"/>
          <w:szCs w:val="28"/>
        </w:rPr>
        <w:t>В</w:t>
      </w:r>
      <w:r w:rsidR="003D6F88" w:rsidRPr="00852FD4">
        <w:rPr>
          <w:b/>
          <w:sz w:val="28"/>
          <w:szCs w:val="28"/>
        </w:rPr>
        <w:t>ыводы</w:t>
      </w:r>
    </w:p>
    <w:p w:rsidR="00C1051C" w:rsidRDefault="00C1051C" w:rsidP="00056C39">
      <w:pPr>
        <w:ind w:firstLine="360"/>
        <w:rPr>
          <w:highlight w:val="yellow"/>
        </w:rPr>
      </w:pPr>
      <w:r w:rsidRPr="00253C67">
        <w:rPr>
          <w:b/>
        </w:rPr>
        <w:t>Предлагаемый</w:t>
      </w:r>
      <w:r w:rsidR="005B78A7" w:rsidRPr="00253C67">
        <w:rPr>
          <w:b/>
        </w:rPr>
        <w:t>,</w:t>
      </w:r>
      <w:r w:rsidR="005B78A7" w:rsidRPr="00711C10">
        <w:t xml:space="preserve"> </w:t>
      </w:r>
      <w:r w:rsidRPr="00711C10">
        <w:rPr>
          <w:b/>
        </w:rPr>
        <w:t>принцип расчета</w:t>
      </w:r>
      <w:r w:rsidRPr="00711C10">
        <w:t xml:space="preserve"> сумм </w:t>
      </w:r>
      <w:r w:rsidR="000966F6" w:rsidRPr="00711C10">
        <w:t>Ч</w:t>
      </w:r>
      <w:r w:rsidRPr="00711C10">
        <w:t xml:space="preserve">ленских взносов </w:t>
      </w:r>
      <w:r w:rsidRPr="00711C10">
        <w:rPr>
          <w:b/>
        </w:rPr>
        <w:t>является понятным, не сложным для использования</w:t>
      </w:r>
      <w:r w:rsidR="000165AF" w:rsidRPr="00711C10">
        <w:rPr>
          <w:b/>
        </w:rPr>
        <w:t>, учитывающим специфику СНТ «Парус-1» и</w:t>
      </w:r>
      <w:r w:rsidRPr="00711C10">
        <w:rPr>
          <w:b/>
        </w:rPr>
        <w:t xml:space="preserve"> обеспечивающим </w:t>
      </w:r>
      <w:r w:rsidR="00BC1E0B" w:rsidRPr="00711C10">
        <w:rPr>
          <w:b/>
        </w:rPr>
        <w:t xml:space="preserve">относительно </w:t>
      </w:r>
      <w:r w:rsidRPr="00711C10">
        <w:rPr>
          <w:b/>
        </w:rPr>
        <w:t xml:space="preserve">справедливое распределение финансовой нагрузки </w:t>
      </w:r>
      <w:r w:rsidRPr="00C1051C">
        <w:t>при ведении хозяйственной деятельности.</w:t>
      </w:r>
      <w:r>
        <w:t xml:space="preserve"> </w:t>
      </w:r>
    </w:p>
    <w:p w:rsidR="00F36ABB" w:rsidRDefault="00F36ABB" w:rsidP="00056C39">
      <w:pPr>
        <w:ind w:firstLine="360"/>
      </w:pPr>
      <w:r w:rsidRPr="0081279F">
        <w:t xml:space="preserve">Предлагаемый </w:t>
      </w:r>
      <w:r w:rsidRPr="009D422C">
        <w:rPr>
          <w:b/>
        </w:rPr>
        <w:t>принцип расчета взносов является достаточно «гибким»,</w:t>
      </w:r>
      <w:r w:rsidRPr="0081279F">
        <w:t xml:space="preserve"> позволяющим при необходимости изменять соотношение между категориями расходов</w:t>
      </w:r>
      <w:r w:rsidR="00CE2AF5" w:rsidRPr="0081279F">
        <w:t>, включа</w:t>
      </w:r>
      <w:r w:rsidR="003A0536" w:rsidRPr="0081279F">
        <w:t>я</w:t>
      </w:r>
      <w:r w:rsidR="00CE2AF5" w:rsidRPr="0081279F">
        <w:t xml:space="preserve"> расходы по статье «Непредвиденные расходы» в первую или вторую категории,</w:t>
      </w:r>
      <w:r w:rsidR="0081279F" w:rsidRPr="0081279F">
        <w:t xml:space="preserve"> </w:t>
      </w:r>
      <w:r w:rsidR="003A0536" w:rsidRPr="0081279F">
        <w:t>либо меняя коэ</w:t>
      </w:r>
      <w:r w:rsidR="0081279F" w:rsidRPr="0081279F">
        <w:t>ффициенты</w:t>
      </w:r>
      <w:r w:rsidRPr="0081279F">
        <w:t xml:space="preserve"> в зависимости от структуры </w:t>
      </w:r>
      <w:r w:rsidR="00CE2AF5" w:rsidRPr="0081279F">
        <w:t xml:space="preserve">и объема </w:t>
      </w:r>
      <w:r w:rsidRPr="0081279F">
        <w:t>расходов</w:t>
      </w:r>
      <w:r w:rsidR="00CE2AF5" w:rsidRPr="0081279F">
        <w:t xml:space="preserve">. </w:t>
      </w:r>
      <w:r w:rsidR="0081279F" w:rsidRPr="0081279F">
        <w:t xml:space="preserve">На </w:t>
      </w:r>
      <w:r w:rsidR="00CE2AF5" w:rsidRPr="0081279F">
        <w:t>Обще</w:t>
      </w:r>
      <w:r w:rsidR="0081279F" w:rsidRPr="0081279F">
        <w:t>м</w:t>
      </w:r>
      <w:r w:rsidR="00CE2AF5" w:rsidRPr="0081279F">
        <w:t xml:space="preserve"> собрани</w:t>
      </w:r>
      <w:r w:rsidR="0081279F" w:rsidRPr="0081279F">
        <w:t xml:space="preserve">и </w:t>
      </w:r>
      <w:r w:rsidR="00CE2AF5" w:rsidRPr="0081279F">
        <w:t xml:space="preserve">владельцев участков </w:t>
      </w:r>
      <w:r w:rsidR="003A0536" w:rsidRPr="0081279F">
        <w:t>рассматрива</w:t>
      </w:r>
      <w:r w:rsidR="0081279F" w:rsidRPr="0081279F">
        <w:t>ются</w:t>
      </w:r>
      <w:r w:rsidR="003A0536" w:rsidRPr="0081279F">
        <w:t xml:space="preserve"> расходы предстоящего учетного периода и утверждает</w:t>
      </w:r>
      <w:r w:rsidR="0081279F" w:rsidRPr="0081279F">
        <w:t xml:space="preserve">ся </w:t>
      </w:r>
      <w:r w:rsidR="003A0536" w:rsidRPr="0081279F">
        <w:t>с</w:t>
      </w:r>
      <w:r w:rsidR="00CE2AF5" w:rsidRPr="0081279F">
        <w:t>оотношение расходов</w:t>
      </w:r>
      <w:r w:rsidR="003A0536" w:rsidRPr="0081279F">
        <w:t xml:space="preserve">, </w:t>
      </w:r>
      <w:r w:rsidR="003A0536" w:rsidRPr="005D1E15">
        <w:rPr>
          <w:b/>
        </w:rPr>
        <w:t>если это необходимо</w:t>
      </w:r>
      <w:r w:rsidR="003A0536" w:rsidRPr="0081279F">
        <w:t>.</w:t>
      </w:r>
    </w:p>
    <w:p w:rsidR="000A16E3" w:rsidRDefault="00C1051C" w:rsidP="00056C39">
      <w:pPr>
        <w:ind w:firstLine="360"/>
      </w:pPr>
      <w:r>
        <w:t xml:space="preserve">Использование его в СНТ «Парус-1» </w:t>
      </w:r>
      <w:r w:rsidR="000966F6">
        <w:t xml:space="preserve">безусловно положительно скажется </w:t>
      </w:r>
      <w:r w:rsidRPr="00C1051C">
        <w:t xml:space="preserve">на </w:t>
      </w:r>
      <w:r w:rsidR="000966F6" w:rsidRPr="000966F6">
        <w:t xml:space="preserve">психологическом климате </w:t>
      </w:r>
      <w:r w:rsidR="000966F6">
        <w:t xml:space="preserve">внутри СНТ и позволит более эффективно вести хозяйственную деятельность, в частности </w:t>
      </w:r>
      <w:r w:rsidR="000966F6" w:rsidRPr="00A4676E">
        <w:t>повысит оперативность сбора Членских взносов</w:t>
      </w:r>
      <w:r w:rsidR="006E1681" w:rsidRPr="00A4676E">
        <w:t>, усилит «отзывчивость» большинства членов СНТ</w:t>
      </w:r>
      <w:r w:rsidR="000966F6">
        <w:t xml:space="preserve"> </w:t>
      </w:r>
      <w:r w:rsidR="006E1681">
        <w:t xml:space="preserve">на принятые решения Общего собрания, действия Правления СНТ </w:t>
      </w:r>
      <w:r w:rsidR="000966F6">
        <w:t>и др.</w:t>
      </w:r>
    </w:p>
    <w:p w:rsidR="00605ABC" w:rsidRDefault="00605ABC" w:rsidP="008252AF"/>
    <w:p w:rsidR="006E1681" w:rsidRPr="00D75413" w:rsidRDefault="006E1681" w:rsidP="008252AF">
      <w:pPr>
        <w:rPr>
          <w:b/>
          <w:sz w:val="24"/>
          <w:szCs w:val="24"/>
        </w:rPr>
      </w:pPr>
      <w:r w:rsidRPr="00D75413">
        <w:rPr>
          <w:b/>
          <w:sz w:val="24"/>
          <w:szCs w:val="24"/>
        </w:rPr>
        <w:t>Исполнители:</w:t>
      </w:r>
    </w:p>
    <w:p w:rsidR="006E1681" w:rsidRDefault="006E1681" w:rsidP="008252AF">
      <w:proofErr w:type="spellStart"/>
      <w:r>
        <w:t>Афонина</w:t>
      </w:r>
      <w:proofErr w:type="spellEnd"/>
      <w:r>
        <w:t xml:space="preserve"> А.И., </w:t>
      </w:r>
      <w:proofErr w:type="spellStart"/>
      <w:r>
        <w:t>Афонин</w:t>
      </w:r>
      <w:proofErr w:type="spellEnd"/>
      <w:r>
        <w:t xml:space="preserve"> В.В. (уч.№21, СНТ «Парус-1»)</w:t>
      </w:r>
    </w:p>
    <w:p w:rsidR="006E1681" w:rsidRPr="008252AF" w:rsidRDefault="00D75413" w:rsidP="008252AF">
      <w:r>
        <w:t>31</w:t>
      </w:r>
      <w:r w:rsidR="006E1681">
        <w:t>.07.2023г.</w:t>
      </w:r>
    </w:p>
    <w:sectPr w:rsidR="006E1681" w:rsidRPr="0082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3CA"/>
    <w:multiLevelType w:val="hybridMultilevel"/>
    <w:tmpl w:val="02642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6724E"/>
    <w:multiLevelType w:val="hybridMultilevel"/>
    <w:tmpl w:val="2EB2E4AC"/>
    <w:lvl w:ilvl="0" w:tplc="41FCA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E2EAE"/>
    <w:multiLevelType w:val="hybridMultilevel"/>
    <w:tmpl w:val="3582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15"/>
    <w:rsid w:val="000108BC"/>
    <w:rsid w:val="000165AF"/>
    <w:rsid w:val="0001714D"/>
    <w:rsid w:val="00017BFF"/>
    <w:rsid w:val="0002001F"/>
    <w:rsid w:val="00022E87"/>
    <w:rsid w:val="00040A18"/>
    <w:rsid w:val="00046E9F"/>
    <w:rsid w:val="00052DED"/>
    <w:rsid w:val="00055C07"/>
    <w:rsid w:val="00056C39"/>
    <w:rsid w:val="00064C19"/>
    <w:rsid w:val="00071762"/>
    <w:rsid w:val="00092D2A"/>
    <w:rsid w:val="00095E46"/>
    <w:rsid w:val="000966F6"/>
    <w:rsid w:val="000A0D70"/>
    <w:rsid w:val="000A16E3"/>
    <w:rsid w:val="000A3853"/>
    <w:rsid w:val="000A50A6"/>
    <w:rsid w:val="000B1A2B"/>
    <w:rsid w:val="000B50CA"/>
    <w:rsid w:val="000B57E0"/>
    <w:rsid w:val="000C106A"/>
    <w:rsid w:val="000D17B2"/>
    <w:rsid w:val="000E33E5"/>
    <w:rsid w:val="000F03EE"/>
    <w:rsid w:val="00102F51"/>
    <w:rsid w:val="0010341A"/>
    <w:rsid w:val="00106265"/>
    <w:rsid w:val="00113D0D"/>
    <w:rsid w:val="001242AD"/>
    <w:rsid w:val="001245AA"/>
    <w:rsid w:val="00127549"/>
    <w:rsid w:val="00127832"/>
    <w:rsid w:val="00130E9B"/>
    <w:rsid w:val="0013285C"/>
    <w:rsid w:val="00172555"/>
    <w:rsid w:val="00175EE7"/>
    <w:rsid w:val="00184F0A"/>
    <w:rsid w:val="0018676C"/>
    <w:rsid w:val="001B2295"/>
    <w:rsid w:val="001B35A7"/>
    <w:rsid w:val="001C3545"/>
    <w:rsid w:val="001C769B"/>
    <w:rsid w:val="001E6A2B"/>
    <w:rsid w:val="00202621"/>
    <w:rsid w:val="00237242"/>
    <w:rsid w:val="002379FB"/>
    <w:rsid w:val="0025344F"/>
    <w:rsid w:val="00253C67"/>
    <w:rsid w:val="002676D0"/>
    <w:rsid w:val="0027706B"/>
    <w:rsid w:val="002817C6"/>
    <w:rsid w:val="00285880"/>
    <w:rsid w:val="00285FE4"/>
    <w:rsid w:val="00287D66"/>
    <w:rsid w:val="00292C3D"/>
    <w:rsid w:val="00295589"/>
    <w:rsid w:val="002A071A"/>
    <w:rsid w:val="002A5F77"/>
    <w:rsid w:val="002B77F0"/>
    <w:rsid w:val="002B7ABC"/>
    <w:rsid w:val="002C18AE"/>
    <w:rsid w:val="002C5002"/>
    <w:rsid w:val="002D032B"/>
    <w:rsid w:val="002D2134"/>
    <w:rsid w:val="002F7D0A"/>
    <w:rsid w:val="003031B5"/>
    <w:rsid w:val="00314F43"/>
    <w:rsid w:val="00323D3E"/>
    <w:rsid w:val="003314DD"/>
    <w:rsid w:val="00340805"/>
    <w:rsid w:val="00340962"/>
    <w:rsid w:val="00355DF2"/>
    <w:rsid w:val="00357542"/>
    <w:rsid w:val="003634AD"/>
    <w:rsid w:val="003636FD"/>
    <w:rsid w:val="00365843"/>
    <w:rsid w:val="00365BBF"/>
    <w:rsid w:val="0037089F"/>
    <w:rsid w:val="003807B3"/>
    <w:rsid w:val="00380A0E"/>
    <w:rsid w:val="00381863"/>
    <w:rsid w:val="003952F3"/>
    <w:rsid w:val="003A0536"/>
    <w:rsid w:val="003A41B2"/>
    <w:rsid w:val="003B2593"/>
    <w:rsid w:val="003B5332"/>
    <w:rsid w:val="003C45E5"/>
    <w:rsid w:val="003C6EF5"/>
    <w:rsid w:val="003D5EE3"/>
    <w:rsid w:val="003D6F88"/>
    <w:rsid w:val="003E3339"/>
    <w:rsid w:val="003E579B"/>
    <w:rsid w:val="003E65E4"/>
    <w:rsid w:val="003F33AC"/>
    <w:rsid w:val="00400073"/>
    <w:rsid w:val="00411957"/>
    <w:rsid w:val="00430E9B"/>
    <w:rsid w:val="004413B7"/>
    <w:rsid w:val="0044665A"/>
    <w:rsid w:val="00452317"/>
    <w:rsid w:val="0045257F"/>
    <w:rsid w:val="00454FED"/>
    <w:rsid w:val="00466075"/>
    <w:rsid w:val="0048179E"/>
    <w:rsid w:val="00492A9E"/>
    <w:rsid w:val="00494657"/>
    <w:rsid w:val="004C0845"/>
    <w:rsid w:val="004D299C"/>
    <w:rsid w:val="00500E68"/>
    <w:rsid w:val="00503735"/>
    <w:rsid w:val="0051087C"/>
    <w:rsid w:val="00516560"/>
    <w:rsid w:val="0052573F"/>
    <w:rsid w:val="0054263B"/>
    <w:rsid w:val="005606E2"/>
    <w:rsid w:val="00561499"/>
    <w:rsid w:val="005634B0"/>
    <w:rsid w:val="00573032"/>
    <w:rsid w:val="00577E27"/>
    <w:rsid w:val="005878D9"/>
    <w:rsid w:val="0059032D"/>
    <w:rsid w:val="005967A9"/>
    <w:rsid w:val="005A4FEA"/>
    <w:rsid w:val="005A672E"/>
    <w:rsid w:val="005A7BD1"/>
    <w:rsid w:val="005B591D"/>
    <w:rsid w:val="005B78A7"/>
    <w:rsid w:val="005D1E15"/>
    <w:rsid w:val="005D5FD0"/>
    <w:rsid w:val="005E2E00"/>
    <w:rsid w:val="00603888"/>
    <w:rsid w:val="00605ABC"/>
    <w:rsid w:val="00606CE7"/>
    <w:rsid w:val="006113F8"/>
    <w:rsid w:val="006159DF"/>
    <w:rsid w:val="00616A8A"/>
    <w:rsid w:val="00625B9E"/>
    <w:rsid w:val="00630034"/>
    <w:rsid w:val="00637F50"/>
    <w:rsid w:val="00642215"/>
    <w:rsid w:val="006535FC"/>
    <w:rsid w:val="00661740"/>
    <w:rsid w:val="0066208B"/>
    <w:rsid w:val="0067171B"/>
    <w:rsid w:val="00685ACC"/>
    <w:rsid w:val="0068622A"/>
    <w:rsid w:val="0069071E"/>
    <w:rsid w:val="006A0AF7"/>
    <w:rsid w:val="006A7D87"/>
    <w:rsid w:val="006B1B91"/>
    <w:rsid w:val="006B2318"/>
    <w:rsid w:val="006B2392"/>
    <w:rsid w:val="006D4B5B"/>
    <w:rsid w:val="006E1681"/>
    <w:rsid w:val="006E3687"/>
    <w:rsid w:val="00702E3D"/>
    <w:rsid w:val="00705359"/>
    <w:rsid w:val="00711C10"/>
    <w:rsid w:val="00713278"/>
    <w:rsid w:val="007239D9"/>
    <w:rsid w:val="00724EBE"/>
    <w:rsid w:val="00732B6D"/>
    <w:rsid w:val="00741718"/>
    <w:rsid w:val="00744337"/>
    <w:rsid w:val="00745A8D"/>
    <w:rsid w:val="00755AB3"/>
    <w:rsid w:val="00764AB1"/>
    <w:rsid w:val="00764C96"/>
    <w:rsid w:val="007716E3"/>
    <w:rsid w:val="00777540"/>
    <w:rsid w:val="00792588"/>
    <w:rsid w:val="007B2237"/>
    <w:rsid w:val="007B59A0"/>
    <w:rsid w:val="007D3757"/>
    <w:rsid w:val="007D42FD"/>
    <w:rsid w:val="007D6CC3"/>
    <w:rsid w:val="007E769C"/>
    <w:rsid w:val="007F0885"/>
    <w:rsid w:val="00801502"/>
    <w:rsid w:val="0081279F"/>
    <w:rsid w:val="008217BD"/>
    <w:rsid w:val="008252AF"/>
    <w:rsid w:val="00834A41"/>
    <w:rsid w:val="008425DC"/>
    <w:rsid w:val="00846169"/>
    <w:rsid w:val="00847861"/>
    <w:rsid w:val="00852FD4"/>
    <w:rsid w:val="008770DD"/>
    <w:rsid w:val="00886879"/>
    <w:rsid w:val="00893761"/>
    <w:rsid w:val="008969FB"/>
    <w:rsid w:val="008A0BA0"/>
    <w:rsid w:val="008A3D1E"/>
    <w:rsid w:val="008B1CC7"/>
    <w:rsid w:val="008B567F"/>
    <w:rsid w:val="008C0822"/>
    <w:rsid w:val="008D025D"/>
    <w:rsid w:val="008D59A5"/>
    <w:rsid w:val="008E61A9"/>
    <w:rsid w:val="008F3B97"/>
    <w:rsid w:val="008F74D8"/>
    <w:rsid w:val="00902DAC"/>
    <w:rsid w:val="0091196F"/>
    <w:rsid w:val="00922C97"/>
    <w:rsid w:val="0092381B"/>
    <w:rsid w:val="00927BDF"/>
    <w:rsid w:val="00943E3F"/>
    <w:rsid w:val="0094419D"/>
    <w:rsid w:val="00955F4D"/>
    <w:rsid w:val="00964DAA"/>
    <w:rsid w:val="00970A9A"/>
    <w:rsid w:val="00970DF6"/>
    <w:rsid w:val="00977885"/>
    <w:rsid w:val="0098026D"/>
    <w:rsid w:val="00980D02"/>
    <w:rsid w:val="0098360D"/>
    <w:rsid w:val="009A2376"/>
    <w:rsid w:val="009B0D91"/>
    <w:rsid w:val="009B32FE"/>
    <w:rsid w:val="009D025F"/>
    <w:rsid w:val="009D31B0"/>
    <w:rsid w:val="009D422C"/>
    <w:rsid w:val="009F605E"/>
    <w:rsid w:val="00A152F0"/>
    <w:rsid w:val="00A4676E"/>
    <w:rsid w:val="00A47692"/>
    <w:rsid w:val="00A503C4"/>
    <w:rsid w:val="00A75A70"/>
    <w:rsid w:val="00A800A0"/>
    <w:rsid w:val="00A94512"/>
    <w:rsid w:val="00AA2523"/>
    <w:rsid w:val="00AA3D5D"/>
    <w:rsid w:val="00AB55FA"/>
    <w:rsid w:val="00AB6416"/>
    <w:rsid w:val="00AC1EAF"/>
    <w:rsid w:val="00AC4972"/>
    <w:rsid w:val="00AD3985"/>
    <w:rsid w:val="00AD6769"/>
    <w:rsid w:val="00AD680B"/>
    <w:rsid w:val="00B13138"/>
    <w:rsid w:val="00B138C1"/>
    <w:rsid w:val="00B14F99"/>
    <w:rsid w:val="00B17C7B"/>
    <w:rsid w:val="00B33E04"/>
    <w:rsid w:val="00B37040"/>
    <w:rsid w:val="00B40EE6"/>
    <w:rsid w:val="00B4216A"/>
    <w:rsid w:val="00B445AB"/>
    <w:rsid w:val="00B44D86"/>
    <w:rsid w:val="00B57515"/>
    <w:rsid w:val="00B57C56"/>
    <w:rsid w:val="00B719DE"/>
    <w:rsid w:val="00B76B26"/>
    <w:rsid w:val="00B83272"/>
    <w:rsid w:val="00B94A38"/>
    <w:rsid w:val="00BA04F4"/>
    <w:rsid w:val="00BA4F48"/>
    <w:rsid w:val="00BB2CA6"/>
    <w:rsid w:val="00BB575C"/>
    <w:rsid w:val="00BC1E0B"/>
    <w:rsid w:val="00BD1B30"/>
    <w:rsid w:val="00BD1C38"/>
    <w:rsid w:val="00BE4972"/>
    <w:rsid w:val="00BF4562"/>
    <w:rsid w:val="00BF5A35"/>
    <w:rsid w:val="00C01920"/>
    <w:rsid w:val="00C07FA7"/>
    <w:rsid w:val="00C1051C"/>
    <w:rsid w:val="00C14609"/>
    <w:rsid w:val="00C20704"/>
    <w:rsid w:val="00C410CF"/>
    <w:rsid w:val="00C42012"/>
    <w:rsid w:val="00C42DAE"/>
    <w:rsid w:val="00C42E55"/>
    <w:rsid w:val="00C47A43"/>
    <w:rsid w:val="00C501C2"/>
    <w:rsid w:val="00C60ED4"/>
    <w:rsid w:val="00C61E46"/>
    <w:rsid w:val="00C6439E"/>
    <w:rsid w:val="00C723FC"/>
    <w:rsid w:val="00C7490C"/>
    <w:rsid w:val="00C9019E"/>
    <w:rsid w:val="00C97477"/>
    <w:rsid w:val="00CA157B"/>
    <w:rsid w:val="00CA5967"/>
    <w:rsid w:val="00CB0529"/>
    <w:rsid w:val="00CB2C71"/>
    <w:rsid w:val="00CD1505"/>
    <w:rsid w:val="00CD2B20"/>
    <w:rsid w:val="00CE0541"/>
    <w:rsid w:val="00CE2AF5"/>
    <w:rsid w:val="00CF25F9"/>
    <w:rsid w:val="00D00885"/>
    <w:rsid w:val="00D04DD8"/>
    <w:rsid w:val="00D1341B"/>
    <w:rsid w:val="00D146AA"/>
    <w:rsid w:val="00D20856"/>
    <w:rsid w:val="00D23A39"/>
    <w:rsid w:val="00D414B8"/>
    <w:rsid w:val="00D436DC"/>
    <w:rsid w:val="00D4546F"/>
    <w:rsid w:val="00D50C87"/>
    <w:rsid w:val="00D57CA8"/>
    <w:rsid w:val="00D60288"/>
    <w:rsid w:val="00D71235"/>
    <w:rsid w:val="00D75413"/>
    <w:rsid w:val="00D816D8"/>
    <w:rsid w:val="00D935C1"/>
    <w:rsid w:val="00DA44AE"/>
    <w:rsid w:val="00DA56E2"/>
    <w:rsid w:val="00DC2943"/>
    <w:rsid w:val="00DD1589"/>
    <w:rsid w:val="00DD1C6D"/>
    <w:rsid w:val="00DF3687"/>
    <w:rsid w:val="00DF3E6E"/>
    <w:rsid w:val="00DF44C7"/>
    <w:rsid w:val="00DF682F"/>
    <w:rsid w:val="00DF758D"/>
    <w:rsid w:val="00E14730"/>
    <w:rsid w:val="00E1585A"/>
    <w:rsid w:val="00E15CAF"/>
    <w:rsid w:val="00E40676"/>
    <w:rsid w:val="00E50A62"/>
    <w:rsid w:val="00E529F5"/>
    <w:rsid w:val="00E63C66"/>
    <w:rsid w:val="00E65A12"/>
    <w:rsid w:val="00E77434"/>
    <w:rsid w:val="00E94E50"/>
    <w:rsid w:val="00E96794"/>
    <w:rsid w:val="00E9758B"/>
    <w:rsid w:val="00EA33DE"/>
    <w:rsid w:val="00EB3A01"/>
    <w:rsid w:val="00ED5569"/>
    <w:rsid w:val="00EE4FD5"/>
    <w:rsid w:val="00EE7D2F"/>
    <w:rsid w:val="00EF0524"/>
    <w:rsid w:val="00F104BE"/>
    <w:rsid w:val="00F14468"/>
    <w:rsid w:val="00F214E0"/>
    <w:rsid w:val="00F25984"/>
    <w:rsid w:val="00F27C90"/>
    <w:rsid w:val="00F30480"/>
    <w:rsid w:val="00F36ABB"/>
    <w:rsid w:val="00F4291D"/>
    <w:rsid w:val="00F43B2F"/>
    <w:rsid w:val="00F4423E"/>
    <w:rsid w:val="00F51AFA"/>
    <w:rsid w:val="00F576AB"/>
    <w:rsid w:val="00F621DB"/>
    <w:rsid w:val="00F71FAA"/>
    <w:rsid w:val="00F910DE"/>
    <w:rsid w:val="00FA42AC"/>
    <w:rsid w:val="00FA593B"/>
    <w:rsid w:val="00FB2A9D"/>
    <w:rsid w:val="00FB3F45"/>
    <w:rsid w:val="00FB421B"/>
    <w:rsid w:val="00FC2E2A"/>
    <w:rsid w:val="00FC4923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DDCBC-DA86-427A-9714-75DE80B8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7</cp:revision>
  <dcterms:created xsi:type="dcterms:W3CDTF">2023-08-01T09:08:00Z</dcterms:created>
  <dcterms:modified xsi:type="dcterms:W3CDTF">2023-08-02T07:47:00Z</dcterms:modified>
</cp:coreProperties>
</file>